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47F50" w14:textId="77777777" w:rsidR="009E6027" w:rsidRPr="00D07858" w:rsidRDefault="009E6027" w:rsidP="00D07858">
      <w:pPr>
        <w:widowControl w:val="0"/>
        <w:suppressAutoHyphens w:val="0"/>
        <w:jc w:val="both"/>
        <w:rPr>
          <w:bCs/>
          <w:i/>
          <w:sz w:val="28"/>
          <w:szCs w:val="28"/>
        </w:rPr>
      </w:pPr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Тема </w:t>
      </w:r>
      <w:r w:rsidRPr="00D07858">
        <w:rPr>
          <w:i/>
          <w:iCs/>
          <w:sz w:val="28"/>
          <w:szCs w:val="28"/>
          <w:lang w:val="ru-UA"/>
        </w:rPr>
        <w:t>7</w:t>
      </w:r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. </w:t>
      </w:r>
      <w:proofErr w:type="spellStart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>Цифрові</w:t>
      </w:r>
      <w:proofErr w:type="spellEnd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>інструменти</w:t>
      </w:r>
      <w:proofErr w:type="spellEnd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>формування</w:t>
      </w:r>
      <w:proofErr w:type="spellEnd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 </w:t>
      </w:r>
      <w:proofErr w:type="spellStart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>професійного</w:t>
      </w:r>
      <w:proofErr w:type="spellEnd"/>
      <w:r w:rsidRPr="00D07858">
        <w:rPr>
          <w:rFonts w:eastAsiaTheme="minorHAnsi"/>
          <w:i/>
          <w:iCs/>
          <w:color w:val="000000"/>
          <w:sz w:val="28"/>
          <w:szCs w:val="28"/>
          <w:lang w:val="ru-UA" w:eastAsia="en-US"/>
        </w:rPr>
        <w:t xml:space="preserve"> образу педагога</w:t>
      </w:r>
    </w:p>
    <w:p w14:paraId="199D497F" w14:textId="370A47FF" w:rsidR="009E6027" w:rsidRPr="00D07858" w:rsidRDefault="009E6027" w:rsidP="00D07858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D07858">
        <w:rPr>
          <w:sz w:val="28"/>
          <w:szCs w:val="28"/>
          <w:lang w:val="ru-UA"/>
        </w:rPr>
        <w:t>Види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цифрових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інструментів</w:t>
      </w:r>
      <w:proofErr w:type="spellEnd"/>
      <w:r w:rsidRPr="00D07858">
        <w:rPr>
          <w:sz w:val="28"/>
          <w:szCs w:val="28"/>
          <w:lang w:val="ru-UA"/>
        </w:rPr>
        <w:t xml:space="preserve"> для </w:t>
      </w:r>
      <w:proofErr w:type="spellStart"/>
      <w:r w:rsidRPr="00D07858">
        <w:rPr>
          <w:sz w:val="28"/>
          <w:szCs w:val="28"/>
          <w:lang w:val="ru-UA"/>
        </w:rPr>
        <w:t>професійного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само</w:t>
      </w:r>
      <w:r w:rsidR="00D21146" w:rsidRPr="00D07858">
        <w:rPr>
          <w:sz w:val="28"/>
          <w:szCs w:val="28"/>
          <w:lang w:val="ru-UA"/>
        </w:rPr>
        <w:t>маркетингу</w:t>
      </w:r>
      <w:proofErr w:type="spellEnd"/>
      <w:r w:rsidRPr="00D07858">
        <w:rPr>
          <w:sz w:val="28"/>
          <w:szCs w:val="28"/>
          <w:lang w:val="ru-UA"/>
        </w:rPr>
        <w:t xml:space="preserve">. </w:t>
      </w:r>
    </w:p>
    <w:p w14:paraId="0034F868" w14:textId="0904D648" w:rsidR="009E6027" w:rsidRPr="00D07858" w:rsidRDefault="009E6027" w:rsidP="00D07858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ru-UA"/>
        </w:rPr>
      </w:pPr>
      <w:proofErr w:type="spellStart"/>
      <w:r w:rsidRPr="00D07858">
        <w:rPr>
          <w:sz w:val="28"/>
          <w:szCs w:val="28"/>
          <w:lang w:val="ru-UA"/>
        </w:rPr>
        <w:t>Підходи</w:t>
      </w:r>
      <w:proofErr w:type="spellEnd"/>
      <w:r w:rsidRPr="00D07858">
        <w:rPr>
          <w:sz w:val="28"/>
          <w:szCs w:val="28"/>
          <w:lang w:val="ru-UA"/>
        </w:rPr>
        <w:t xml:space="preserve"> до </w:t>
      </w:r>
      <w:proofErr w:type="spellStart"/>
      <w:r w:rsidRPr="00D07858">
        <w:rPr>
          <w:sz w:val="28"/>
          <w:szCs w:val="28"/>
          <w:lang w:val="ru-UA"/>
        </w:rPr>
        <w:t>вибору</w:t>
      </w:r>
      <w:proofErr w:type="spellEnd"/>
      <w:r w:rsidRPr="00D07858">
        <w:rPr>
          <w:sz w:val="28"/>
          <w:szCs w:val="28"/>
          <w:lang w:val="ru-UA"/>
        </w:rPr>
        <w:t xml:space="preserve"> онлайн-платформ. </w:t>
      </w:r>
      <w:proofErr w:type="spellStart"/>
      <w:r w:rsidRPr="00D07858">
        <w:rPr>
          <w:sz w:val="28"/>
          <w:szCs w:val="28"/>
          <w:lang w:val="ru-UA"/>
        </w:rPr>
        <w:t>Освітні</w:t>
      </w:r>
      <w:proofErr w:type="spellEnd"/>
      <w:r w:rsidRPr="00D07858">
        <w:rPr>
          <w:sz w:val="28"/>
          <w:szCs w:val="28"/>
          <w:lang w:val="ru-UA"/>
        </w:rPr>
        <w:t xml:space="preserve"> блоги, </w:t>
      </w:r>
      <w:proofErr w:type="spellStart"/>
      <w:r w:rsidRPr="00D07858">
        <w:rPr>
          <w:sz w:val="28"/>
          <w:szCs w:val="28"/>
          <w:lang w:val="ru-UA"/>
        </w:rPr>
        <w:t>електронні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портфоліо</w:t>
      </w:r>
      <w:proofErr w:type="spellEnd"/>
      <w:r w:rsidRPr="00D07858">
        <w:rPr>
          <w:sz w:val="28"/>
          <w:szCs w:val="28"/>
          <w:lang w:val="ru-UA"/>
        </w:rPr>
        <w:t xml:space="preserve">, </w:t>
      </w:r>
      <w:proofErr w:type="spellStart"/>
      <w:r w:rsidRPr="00D07858">
        <w:rPr>
          <w:sz w:val="28"/>
          <w:szCs w:val="28"/>
          <w:lang w:val="ru-UA"/>
        </w:rPr>
        <w:t>цифрові</w:t>
      </w:r>
      <w:proofErr w:type="spellEnd"/>
      <w:r w:rsidRPr="00D07858">
        <w:rPr>
          <w:sz w:val="28"/>
          <w:szCs w:val="28"/>
          <w:lang w:val="ru-UA"/>
        </w:rPr>
        <w:t xml:space="preserve"> резюме як </w:t>
      </w:r>
      <w:proofErr w:type="spellStart"/>
      <w:r w:rsidRPr="00D07858">
        <w:rPr>
          <w:sz w:val="28"/>
          <w:szCs w:val="28"/>
          <w:lang w:val="ru-UA"/>
        </w:rPr>
        <w:t>форми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іміджевого</w:t>
      </w:r>
      <w:proofErr w:type="spellEnd"/>
      <w:r w:rsidRPr="00D07858">
        <w:rPr>
          <w:sz w:val="28"/>
          <w:szCs w:val="28"/>
          <w:lang w:val="ru-UA"/>
        </w:rPr>
        <w:t xml:space="preserve"> </w:t>
      </w:r>
      <w:proofErr w:type="spellStart"/>
      <w:r w:rsidRPr="00D07858">
        <w:rPr>
          <w:sz w:val="28"/>
          <w:szCs w:val="28"/>
          <w:lang w:val="ru-UA"/>
        </w:rPr>
        <w:t>представлення</w:t>
      </w:r>
      <w:proofErr w:type="spellEnd"/>
      <w:r w:rsidRPr="00D07858">
        <w:rPr>
          <w:sz w:val="28"/>
          <w:szCs w:val="28"/>
          <w:lang w:val="ru-UA"/>
        </w:rPr>
        <w:t>.</w:t>
      </w:r>
    </w:p>
    <w:p w14:paraId="5A8B9682" w14:textId="77777777" w:rsidR="00D07858" w:rsidRDefault="00D21146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 xml:space="preserve">У цифрову епоху відбувається зміна підходів до професійної самоідентифікації. В умовах інформаційного перенасичення, професійна компетентність та досягнення самі по собі вже не гарантують успіху. Особливого значення набуває здатність правильно презентувати власні навички, досягнення та досвід через цифрові канали комунікації. </w:t>
      </w:r>
      <w:proofErr w:type="spellStart"/>
      <w:r w:rsidRPr="00D07858">
        <w:rPr>
          <w:sz w:val="28"/>
          <w:szCs w:val="28"/>
        </w:rPr>
        <w:t>Самомаркетинг</w:t>
      </w:r>
      <w:proofErr w:type="spellEnd"/>
      <w:r w:rsidRPr="00D07858">
        <w:rPr>
          <w:sz w:val="28"/>
          <w:szCs w:val="28"/>
        </w:rPr>
        <w:t xml:space="preserve"> стає важливим інструментом стратегічного просування своїх унікальних професійних характеристик, що формують індивідуальний образ, підвищують </w:t>
      </w:r>
      <w:proofErr w:type="spellStart"/>
      <w:r w:rsidRPr="00D07858">
        <w:rPr>
          <w:sz w:val="28"/>
          <w:szCs w:val="28"/>
        </w:rPr>
        <w:t>впізнаваність</w:t>
      </w:r>
      <w:proofErr w:type="spellEnd"/>
      <w:r w:rsidRPr="00D07858">
        <w:rPr>
          <w:sz w:val="28"/>
          <w:szCs w:val="28"/>
        </w:rPr>
        <w:t xml:space="preserve"> та забезпечують конкурентну перевагу на ринку праці. </w:t>
      </w:r>
    </w:p>
    <w:p w14:paraId="7F00878B" w14:textId="74401C53" w:rsidR="009E6027" w:rsidRPr="00D07858" w:rsidRDefault="00D21146" w:rsidP="00D07858">
      <w:pPr>
        <w:ind w:firstLine="720"/>
        <w:jc w:val="both"/>
        <w:rPr>
          <w:sz w:val="28"/>
          <w:szCs w:val="28"/>
        </w:rPr>
      </w:pPr>
      <w:proofErr w:type="spellStart"/>
      <w:r w:rsidRPr="00D07858">
        <w:rPr>
          <w:sz w:val="28"/>
          <w:szCs w:val="28"/>
        </w:rPr>
        <w:t>Самомаркетинг</w:t>
      </w:r>
      <w:proofErr w:type="spellEnd"/>
      <w:r w:rsidRPr="00D07858">
        <w:rPr>
          <w:sz w:val="28"/>
          <w:szCs w:val="28"/>
        </w:rPr>
        <w:t xml:space="preserve"> – це свідомий процес просування власних навичок, досягнень і особистісних характеристик для побудови позитивного професійного іміджу та репутації. Персональний бренд, у свою чергу, є результатом цього процесу і представляє сукупність уявлень, які формуються у цільової аудиторії про особу, її унікальні риси та професійні цінності</w:t>
      </w:r>
    </w:p>
    <w:p w14:paraId="4269A16A" w14:textId="77777777" w:rsidR="00C17505" w:rsidRPr="00D07858" w:rsidRDefault="00C17505" w:rsidP="00D07858">
      <w:pPr>
        <w:jc w:val="both"/>
        <w:rPr>
          <w:sz w:val="28"/>
          <w:szCs w:val="28"/>
        </w:rPr>
      </w:pPr>
    </w:p>
    <w:p w14:paraId="77BD82D2" w14:textId="1995909E" w:rsidR="00C17505" w:rsidRPr="00D07858" w:rsidRDefault="00C17505" w:rsidP="00D07858">
      <w:pPr>
        <w:jc w:val="both"/>
        <w:rPr>
          <w:sz w:val="28"/>
          <w:szCs w:val="28"/>
        </w:rPr>
      </w:pPr>
      <w:r w:rsidRPr="00D07858">
        <w:rPr>
          <w:noProof/>
          <w:sz w:val="28"/>
          <w:szCs w:val="28"/>
        </w:rPr>
        <w:drawing>
          <wp:inline distT="0" distB="0" distL="0" distR="0" wp14:anchorId="19D9C9C1" wp14:editId="15176159">
            <wp:extent cx="5940425" cy="3681095"/>
            <wp:effectExtent l="0" t="0" r="3175" b="0"/>
            <wp:docPr id="1818799166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799166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CC047" w14:textId="77777777" w:rsidR="00C17505" w:rsidRPr="00D07858" w:rsidRDefault="00C17505" w:rsidP="00D07858">
      <w:pPr>
        <w:jc w:val="both"/>
        <w:rPr>
          <w:sz w:val="28"/>
          <w:szCs w:val="28"/>
        </w:rPr>
      </w:pPr>
    </w:p>
    <w:p w14:paraId="646FFF06" w14:textId="6EFD5D2D" w:rsidR="00C17505" w:rsidRPr="00D07858" w:rsidRDefault="00C17505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 xml:space="preserve">Усі наведені елементи допомагають формувати стратегію </w:t>
      </w:r>
      <w:proofErr w:type="spellStart"/>
      <w:r w:rsidRPr="00D07858">
        <w:rPr>
          <w:sz w:val="28"/>
          <w:szCs w:val="28"/>
        </w:rPr>
        <w:t>самомаркетингу</w:t>
      </w:r>
      <w:proofErr w:type="spellEnd"/>
      <w:r w:rsidRPr="00D07858">
        <w:rPr>
          <w:sz w:val="28"/>
          <w:szCs w:val="28"/>
        </w:rPr>
        <w:t xml:space="preserve">, сприяють просуванню особистого бренду і підвищенню професійної репутації. Так, онлайн-платформи допомагають </w:t>
      </w:r>
      <w:proofErr w:type="spellStart"/>
      <w:r w:rsidRPr="00D07858">
        <w:rPr>
          <w:sz w:val="28"/>
          <w:szCs w:val="28"/>
        </w:rPr>
        <w:t>комунікувати</w:t>
      </w:r>
      <w:proofErr w:type="spellEnd"/>
      <w:r w:rsidRPr="00D07858">
        <w:rPr>
          <w:sz w:val="28"/>
          <w:szCs w:val="28"/>
        </w:rPr>
        <w:t xml:space="preserve"> з аудиторією, персональний сайт/блог виступає як візитка професіонала, контент-маркетинг сприяє підвищенню </w:t>
      </w:r>
      <w:proofErr w:type="spellStart"/>
      <w:r w:rsidRPr="00D07858">
        <w:rPr>
          <w:sz w:val="28"/>
          <w:szCs w:val="28"/>
        </w:rPr>
        <w:t>впізнаваності</w:t>
      </w:r>
      <w:proofErr w:type="spellEnd"/>
      <w:r w:rsidRPr="00D07858">
        <w:rPr>
          <w:sz w:val="28"/>
          <w:szCs w:val="28"/>
        </w:rPr>
        <w:t xml:space="preserve"> через створення корисного контенту, </w:t>
      </w:r>
      <w:proofErr w:type="spellStart"/>
      <w:r w:rsidRPr="00D07858">
        <w:rPr>
          <w:sz w:val="28"/>
          <w:szCs w:val="28"/>
        </w:rPr>
        <w:t>нетворкінг</w:t>
      </w:r>
      <w:proofErr w:type="spellEnd"/>
      <w:r w:rsidRPr="00D07858">
        <w:rPr>
          <w:sz w:val="28"/>
          <w:szCs w:val="28"/>
        </w:rPr>
        <w:t xml:space="preserve"> будує професійні зв’язки, емоційний інтелект підсилює ефективність комунікацій, персональний брендинг формує імідж, самоосвіта </w:t>
      </w:r>
      <w:r w:rsidRPr="00D07858">
        <w:rPr>
          <w:sz w:val="28"/>
          <w:szCs w:val="28"/>
        </w:rPr>
        <w:lastRenderedPageBreak/>
        <w:t>покращує компетентність, репутаційний менеджмент важливий для довіри, гнучкість демонструє адаптивність, а позиціонування визначає унікальність.</w:t>
      </w:r>
    </w:p>
    <w:p w14:paraId="439244E5" w14:textId="39A9BCB6" w:rsidR="00C17505" w:rsidRPr="00D07858" w:rsidRDefault="00C17505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>Цифрові платформи надають ефективні інструменти для створення та просування власного унікального іміджу, але кожна платформа має свої особливості, переваги, недоліки та обмеження</w:t>
      </w:r>
    </w:p>
    <w:p w14:paraId="31C8CAB0" w14:textId="3630E904" w:rsidR="00C17505" w:rsidRPr="00D07858" w:rsidRDefault="00C17505" w:rsidP="00D07858">
      <w:pPr>
        <w:jc w:val="both"/>
        <w:rPr>
          <w:sz w:val="28"/>
          <w:szCs w:val="28"/>
        </w:rPr>
      </w:pPr>
      <w:r w:rsidRPr="00D07858">
        <w:rPr>
          <w:noProof/>
          <w:sz w:val="28"/>
          <w:szCs w:val="28"/>
        </w:rPr>
        <w:drawing>
          <wp:inline distT="0" distB="0" distL="0" distR="0" wp14:anchorId="0D6807D0" wp14:editId="2F2885DE">
            <wp:extent cx="5940425" cy="5481955"/>
            <wp:effectExtent l="0" t="0" r="3175" b="4445"/>
            <wp:docPr id="744059055" name="Рисунок 1" descr="Изображение выглядит как текст, Шрифт, снимок экрана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059055" name="Рисунок 1" descr="Изображение выглядит как текст, Шрифт, снимок экрана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8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29AA7B" w14:textId="77777777" w:rsidR="00D07858" w:rsidRDefault="00C17505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 xml:space="preserve">Важливо зауважити, що персональний бренд вчителя безпосередньо впливає на освітній процес, оскільки учні більш зацікавлені у навчанні, коли вчитель має авторитет в освітній спільноті. Водночас батьки також мають більше бажання співпрацювати з вчителем, який має позитивний імідж та використовує цифрові ресурси через які полегшується комунікація. </w:t>
      </w:r>
    </w:p>
    <w:p w14:paraId="4DBA97D7" w14:textId="0C881210" w:rsidR="004663C2" w:rsidRPr="00D07858" w:rsidRDefault="00D07858" w:rsidP="00D0785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</w:t>
      </w:r>
      <w:r w:rsidR="004663C2" w:rsidRPr="00D07858">
        <w:rPr>
          <w:sz w:val="28"/>
          <w:szCs w:val="28"/>
        </w:rPr>
        <w:t>ифрові інструменти, які вчитель може використати для створення свого персонального бренду.</w:t>
      </w:r>
    </w:p>
    <w:p w14:paraId="4120B4A5" w14:textId="3E35E1EA" w:rsidR="004663C2" w:rsidRPr="00D07858" w:rsidRDefault="004663C2" w:rsidP="00D07858">
      <w:pPr>
        <w:jc w:val="both"/>
        <w:rPr>
          <w:sz w:val="28"/>
          <w:szCs w:val="28"/>
        </w:rPr>
      </w:pPr>
      <w:r w:rsidRPr="00D07858">
        <w:rPr>
          <w:noProof/>
          <w:sz w:val="28"/>
          <w:szCs w:val="28"/>
        </w:rPr>
        <w:lastRenderedPageBreak/>
        <w:drawing>
          <wp:inline distT="0" distB="0" distL="0" distR="0" wp14:anchorId="3428A5D3" wp14:editId="70B87844">
            <wp:extent cx="5940425" cy="5125720"/>
            <wp:effectExtent l="0" t="0" r="3175" b="0"/>
            <wp:docPr id="1901225331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225331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12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02F6F" w14:textId="48640ED3" w:rsidR="004663C2" w:rsidRPr="00D07858" w:rsidRDefault="004663C2" w:rsidP="00D07858">
      <w:pPr>
        <w:jc w:val="both"/>
        <w:rPr>
          <w:sz w:val="28"/>
          <w:szCs w:val="28"/>
        </w:rPr>
      </w:pPr>
      <w:r w:rsidRPr="00D07858">
        <w:rPr>
          <w:noProof/>
          <w:sz w:val="28"/>
          <w:szCs w:val="28"/>
        </w:rPr>
        <w:drawing>
          <wp:inline distT="0" distB="0" distL="0" distR="0" wp14:anchorId="4199A352" wp14:editId="6F96FD7D">
            <wp:extent cx="5940425" cy="2937510"/>
            <wp:effectExtent l="0" t="0" r="3175" b="0"/>
            <wp:docPr id="1451603745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03745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93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1197B" w14:textId="77777777" w:rsidR="00D07858" w:rsidRDefault="004663C2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 xml:space="preserve">Створення та розвиток персонального бренду є важливим кроком для професійного розвитку вчителя в умовах цифрової трансформації освіти, який допомагає </w:t>
      </w:r>
      <w:proofErr w:type="spellStart"/>
      <w:r w:rsidRPr="00D07858">
        <w:rPr>
          <w:sz w:val="28"/>
          <w:szCs w:val="28"/>
        </w:rPr>
        <w:t>позиціювати</w:t>
      </w:r>
      <w:proofErr w:type="spellEnd"/>
      <w:r w:rsidRPr="00D07858">
        <w:rPr>
          <w:sz w:val="28"/>
          <w:szCs w:val="28"/>
        </w:rPr>
        <w:t xml:space="preserve"> себе як експерта, підвищити авторитет серед учнів, батьків та колег, привертати додаткову увагу до своєї діяльності. Цей процес передбачає використання різноманітних цифрових інструментів, таких як </w:t>
      </w:r>
      <w:r w:rsidRPr="00D07858">
        <w:rPr>
          <w:sz w:val="28"/>
          <w:szCs w:val="28"/>
        </w:rPr>
        <w:lastRenderedPageBreak/>
        <w:t xml:space="preserve">соціальні мережі, блоги, </w:t>
      </w:r>
      <w:proofErr w:type="spellStart"/>
      <w:r w:rsidRPr="00D07858">
        <w:rPr>
          <w:sz w:val="28"/>
          <w:szCs w:val="28"/>
        </w:rPr>
        <w:t>YouTube</w:t>
      </w:r>
      <w:proofErr w:type="spellEnd"/>
      <w:r w:rsidRPr="00D07858">
        <w:rPr>
          <w:sz w:val="28"/>
          <w:szCs w:val="28"/>
        </w:rPr>
        <w:t xml:space="preserve">-канали, онлайн-курси, електронні портфоліо, і включає кілька ключових етапів: самоаналіз, формулювання цілей, розробку візуальної та вербальної </w:t>
      </w:r>
      <w:proofErr w:type="spellStart"/>
      <w:r w:rsidRPr="00D07858">
        <w:rPr>
          <w:sz w:val="28"/>
          <w:szCs w:val="28"/>
        </w:rPr>
        <w:t>айдентики</w:t>
      </w:r>
      <w:proofErr w:type="spellEnd"/>
      <w:r w:rsidRPr="00D07858">
        <w:rPr>
          <w:sz w:val="28"/>
          <w:szCs w:val="28"/>
        </w:rPr>
        <w:t xml:space="preserve">, побудову цифрової присутності, створення контенту, </w:t>
      </w:r>
      <w:proofErr w:type="spellStart"/>
      <w:r w:rsidRPr="00D07858">
        <w:rPr>
          <w:sz w:val="28"/>
          <w:szCs w:val="28"/>
        </w:rPr>
        <w:t>нетворкінг</w:t>
      </w:r>
      <w:proofErr w:type="spellEnd"/>
      <w:r w:rsidRPr="00D07858">
        <w:rPr>
          <w:sz w:val="28"/>
          <w:szCs w:val="28"/>
        </w:rPr>
        <w:t xml:space="preserve">, моніторинг репутації та безперервний розвиток. </w:t>
      </w:r>
    </w:p>
    <w:p w14:paraId="00873D9E" w14:textId="687E1323" w:rsidR="004663C2" w:rsidRPr="00D07858" w:rsidRDefault="004663C2" w:rsidP="00D07858">
      <w:pPr>
        <w:ind w:firstLine="720"/>
        <w:jc w:val="both"/>
        <w:rPr>
          <w:sz w:val="28"/>
          <w:szCs w:val="28"/>
        </w:rPr>
      </w:pPr>
      <w:r w:rsidRPr="00D07858">
        <w:rPr>
          <w:sz w:val="28"/>
          <w:szCs w:val="28"/>
        </w:rPr>
        <w:t>Для ефективного просування персонального бренду необхідно регулярно створювати якісний освітній контент, взаємодіяти з іншими фахівцями, дотримуватися єдиного стилю та слідкувати за цифровою репутацією</w:t>
      </w:r>
    </w:p>
    <w:p w14:paraId="16793F9C" w14:textId="6C86B5D6" w:rsidR="00D21146" w:rsidRPr="00D07858" w:rsidRDefault="00D21146" w:rsidP="00D07858">
      <w:pPr>
        <w:jc w:val="both"/>
        <w:rPr>
          <w:sz w:val="28"/>
          <w:szCs w:val="28"/>
        </w:rPr>
      </w:pPr>
      <w:r w:rsidRPr="00D07858">
        <w:rPr>
          <w:sz w:val="28"/>
          <w:szCs w:val="28"/>
        </w:rPr>
        <w:t>Список використаних джерел:</w:t>
      </w:r>
    </w:p>
    <w:p w14:paraId="5CDDAC1B" w14:textId="418F9298" w:rsidR="00D21146" w:rsidRPr="00D07858" w:rsidRDefault="00D21146" w:rsidP="00D0785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Avery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, J., &amp;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Greenwald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, R. (2023). A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approach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building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your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brand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Harvard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Business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Review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Retrieved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  <w:lang w:val="uk-UA"/>
        </w:rPr>
        <w:t>from</w:t>
      </w:r>
      <w:proofErr w:type="spellEnd"/>
      <w:r w:rsidRPr="00D078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9" w:history="1">
        <w:r w:rsidRPr="00D07858">
          <w:rPr>
            <w:rStyle w:val="ac"/>
            <w:rFonts w:ascii="Times New Roman" w:hAnsi="Times New Roman" w:cs="Times New Roman"/>
            <w:sz w:val="28"/>
            <w:szCs w:val="28"/>
            <w:lang w:val="uk-UA"/>
          </w:rPr>
          <w:t>https://hbr.org/2023/05/a-new-approach-to-building-your-personal-brand</w:t>
        </w:r>
      </w:hyperlink>
    </w:p>
    <w:p w14:paraId="6B403367" w14:textId="401BCB97" w:rsidR="00D21146" w:rsidRPr="00D07858" w:rsidRDefault="004663C2" w:rsidP="00D0785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07858">
        <w:rPr>
          <w:rFonts w:ascii="Times New Roman" w:hAnsi="Times New Roman" w:cs="Times New Roman"/>
          <w:sz w:val="28"/>
          <w:szCs w:val="28"/>
        </w:rPr>
        <w:t xml:space="preserve">Шевченко Н.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Самомаркетинг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ключовий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інструмент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персонального бренду в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цифрову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епоху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7858">
        <w:rPr>
          <w:rFonts w:ascii="Times New Roman" w:hAnsi="Times New Roman" w:cs="Times New Roman"/>
          <w:i/>
          <w:iCs/>
          <w:sz w:val="28"/>
          <w:szCs w:val="28"/>
        </w:rPr>
        <w:t>Проблеми</w:t>
      </w:r>
      <w:proofErr w:type="spellEnd"/>
      <w:r w:rsidRPr="00D07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i/>
          <w:iCs/>
          <w:sz w:val="28"/>
          <w:szCs w:val="28"/>
        </w:rPr>
        <w:t>сучасних</w:t>
      </w:r>
      <w:proofErr w:type="spellEnd"/>
      <w:r w:rsidRPr="00D07858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i/>
          <w:iCs/>
          <w:sz w:val="28"/>
          <w:szCs w:val="28"/>
        </w:rPr>
        <w:t>трансформацій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>. 2024. №16.</w:t>
      </w:r>
    </w:p>
    <w:p w14:paraId="07D5D600" w14:textId="40D736FC" w:rsidR="004663C2" w:rsidRPr="00D07858" w:rsidRDefault="004663C2" w:rsidP="00D07858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proofErr w:type="spellStart"/>
      <w:r w:rsidRPr="00D07858">
        <w:rPr>
          <w:rFonts w:ascii="Times New Roman" w:hAnsi="Times New Roman" w:cs="Times New Roman"/>
          <w:sz w:val="28"/>
          <w:szCs w:val="28"/>
        </w:rPr>
        <w:t>Кравчина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О.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персонального бренду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858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D07858">
        <w:rPr>
          <w:rFonts w:ascii="Times New Roman" w:hAnsi="Times New Roman" w:cs="Times New Roman"/>
          <w:sz w:val="28"/>
          <w:szCs w:val="28"/>
        </w:rPr>
        <w:t xml:space="preserve">. </w:t>
      </w:r>
      <w:r w:rsidRPr="00D07858"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10" w:history="1">
        <w:r w:rsidRPr="00D07858">
          <w:rPr>
            <w:rStyle w:val="ac"/>
            <w:rFonts w:ascii="Times New Roman" w:hAnsi="Times New Roman" w:cs="Times New Roman"/>
            <w:sz w:val="28"/>
            <w:szCs w:val="28"/>
            <w:lang w:val="en-US"/>
          </w:rPr>
          <w:t>https://lib.iitta.gov.ua/id/eprint/746090/1/%D0%9A%D1%80%D0%B0%D0%B2%D1%87%D0%B8%D0%BD%D0%B0_%D0%A6%D0%98%D0%A4%D0%A0%D0%9E%D0%92%D0%90%20%D0%9A%D0%9E%D0%9C%D0%9F%D0%95%D0%A2%D0%95%D0%9D%D0%A2%D0%9D%D0%86%D0%A1%D0%A2%D0%AC%20%D0%92%D0%A7%D0%98%D0%A2%D0%95%D0%9B%D0%AF%202025.pdf</w:t>
        </w:r>
      </w:hyperlink>
      <w:r w:rsidRPr="00D0785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4663C2" w:rsidRPr="00D07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B4E5B"/>
    <w:multiLevelType w:val="hybridMultilevel"/>
    <w:tmpl w:val="AF94574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FC6373"/>
    <w:multiLevelType w:val="hybridMultilevel"/>
    <w:tmpl w:val="3E56C7B6"/>
    <w:lvl w:ilvl="0" w:tplc="C24C6D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9193836">
    <w:abstractNumId w:val="1"/>
  </w:num>
  <w:num w:numId="2" w16cid:durableId="908269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27"/>
    <w:rsid w:val="004663C2"/>
    <w:rsid w:val="00597181"/>
    <w:rsid w:val="009E6027"/>
    <w:rsid w:val="00AA4A56"/>
    <w:rsid w:val="00C17505"/>
    <w:rsid w:val="00D07858"/>
    <w:rsid w:val="00D21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33856"/>
  <w15:chartTrackingRefBased/>
  <w15:docId w15:val="{3202BC0D-FC4F-4F77-80EB-9178F9E1B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602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uk-UA"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6027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ru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6027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ru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6027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ru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6027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6027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ru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6027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ru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6027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ru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6027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ru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6027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ru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60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60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60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60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60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60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60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60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60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602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u-UA"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60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6027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u-UA"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60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6027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ru-UA"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602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6027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ru-UA"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9E602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60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ru-UA"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602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E6027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9E602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u-RU"/>
      <w14:ligatures w14:val="none"/>
    </w:rPr>
  </w:style>
  <w:style w:type="character" w:styleId="ac">
    <w:name w:val="Hyperlink"/>
    <w:basedOn w:val="a0"/>
    <w:uiPriority w:val="99"/>
    <w:unhideWhenUsed/>
    <w:rsid w:val="00D21146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21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s://lib.iitta.gov.ua/id/eprint/746090/1/%D0%9A%D1%80%D0%B0%D0%B2%D1%87%D0%B8%D0%BD%D0%B0_%D0%A6%D0%98%D0%A4%D0%A0%D0%9E%D0%92%D0%90%20%D0%9A%D0%9E%D0%9C%D0%9F%D0%95%D0%A2%D0%95%D0%9D%D0%A2%D0%9D%D0%86%D0%A1%D0%A2%D0%AC%20%D0%92%D0%A7%D0%98%D0%A2%D0%95%D0%9B%D0%AF%20202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hbr.org/2023/05/a-new-approach-to-building-your-personal-bran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654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Knysh</dc:creator>
  <cp:keywords/>
  <dc:description/>
  <cp:lastModifiedBy>Arina Knysh</cp:lastModifiedBy>
  <cp:revision>2</cp:revision>
  <dcterms:created xsi:type="dcterms:W3CDTF">2026-01-09T21:35:00Z</dcterms:created>
  <dcterms:modified xsi:type="dcterms:W3CDTF">2026-01-20T20:22:00Z</dcterms:modified>
</cp:coreProperties>
</file>