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B4" w:rsidRDefault="002938B4" w:rsidP="002938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ІДСУМКОВОГО КОНТРОЛЮ</w:t>
      </w:r>
    </w:p>
    <w:p w:rsidR="002938B4" w:rsidRDefault="002938B4" w:rsidP="002938B4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Економічний </w:t>
      </w:r>
      <w:proofErr w:type="spellStart"/>
      <w:r w:rsidRPr="002938B4">
        <w:rPr>
          <w:rFonts w:ascii="Times New Roman" w:hAnsi="Times New Roman"/>
          <w:color w:val="000000" w:themeColor="text1"/>
          <w:sz w:val="24"/>
          <w:szCs w:val="24"/>
          <w:lang w:val="uk-UA"/>
        </w:rPr>
        <w:t>глобалізм</w:t>
      </w:r>
      <w:proofErr w:type="spellEnd"/>
      <w:r w:rsidRPr="002938B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і процеси інтернаціоналізації.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Етапи інтернаціоналізації та дуалістична концепція інтернаціонального процесу.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Суть і основні риси </w:t>
      </w:r>
      <w:proofErr w:type="spellStart"/>
      <w:r w:rsidRPr="002938B4">
        <w:rPr>
          <w:rFonts w:ascii="Times New Roman" w:hAnsi="Times New Roman"/>
          <w:color w:val="000000" w:themeColor="text1"/>
          <w:sz w:val="24"/>
          <w:szCs w:val="24"/>
          <w:lang w:val="uk-UA"/>
        </w:rPr>
        <w:t>транснаціоналізації</w:t>
      </w:r>
      <w:proofErr w:type="spellEnd"/>
      <w:r w:rsidRPr="002938B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hAnsi="Times New Roman"/>
          <w:color w:val="000000" w:themeColor="text1"/>
          <w:sz w:val="24"/>
          <w:szCs w:val="24"/>
          <w:lang w:val="uk-UA"/>
        </w:rPr>
        <w:t>Визначення ТНК та їх роль в міжнародному бізнесі.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Роль міжнародних торговельних угод і економічних блоків.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Геополітичні ризики та їх вплив на глобальні корпорації.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Тенденції інтернаціоналізації малих та середніх підприємств.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Взаємозв’язок фінансових потоків та глобальної експансії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Соціально-економічний вплив ТНК на країни перебування.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Механізми адаптації бізнес-моделей до різних економічних середовищ.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Сисема</w:t>
      </w:r>
      <w:proofErr w:type="spellEnd"/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, ознаки і суть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Економічні критерії ТНК, зміст кількісно-якісних характеристик.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Причини виникнення та розвитку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Типи і структура корпорацій в економічній діяльності міжнародного рівня.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Взаємозв’язок структури ТНК і міжнародного масштабування.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Порівняння рентабельності національних і транснаціональних корпорацій.</w:t>
      </w:r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Фінансові та економічні критерії оцінки ефективності ТНК.</w:t>
      </w:r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Роль інновацій та технологій у формуванні економічної природи ТНК.</w:t>
      </w:r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Механізми контролю ризиків у міжнародних корпораціях.</w:t>
      </w:r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Державне регулювання ТНК і його вплив на економічну ефективність.</w:t>
      </w:r>
      <w:r w:rsidRPr="002938B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Вплив глобальних економічних криз на діяльність ТНК.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Стадійність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/>
        </w:rPr>
        <w:t>інтернаціоналізаційного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процесу.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Модель Х.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/>
        </w:rPr>
        <w:t>Перлмуттера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Мотиви і завдання початкового етапу інтернаціоналізації.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Вибір форм виходу на зарубіжні ринки.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Локальна ринкова експансія як проміжний етап у формуванні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Умови та зміст транснаціональної фази інтернаціоналізації фірми.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Вплив культурних та соціальних факторів на інтернаціоналізацію.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Стратегії формування альянсів та партнерств.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Оцінка ризиків виходу на нові ринки. 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Використання маркетингових досліджень для обґрунтування рішень. 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Стандартизація процесів та продуктів у глобальному масштабі.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Планування локальних філій у міжнародному контексті.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Вплив державної політики на процес інтернаціоналізації.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Основні структури та форми організації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Порівняльна характеристика організаційних структур управління.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Критерії вибору структури управління ТНК Сітьові структури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Внутрішня та соціальна політика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Поняття філософії корпорації.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Координація діяльності між філіями та головним офісом.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Інтеграція корпоративної культури у міжнародних філіях.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Політика мотивації та компенсацій для глобальної команди.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Управління людськими ресурсами в міжнародному контексті.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Впровадження етичних стандартів та КСВ.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Використання IT-систем для глобального управління.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Значення внутрішніх комунікацій для стратегічної цілісності ТНК.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Переміщення продукції в системі ТНК.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Горизонтальна та вертикальна інтеграція.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Транснаціональний капітал як нова сила світової економіки.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Вибір джерел фінансування для ТНК.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Міжнародна логістика та управління ланцюгами постачання.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Визначення оптимальних каналів збуту.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Використання трансфертних цін у податковому плануванні.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Методи оцінки ефективності інтеграції.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Управління валютними ризиками у міжнародних операціях.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Роль фінансових інститутів у підтримці ТНК.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Ризики та обмеження глобальної експансії продукції.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Теорії прямих зарубіжних інвестицій.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Теорія руху капіталу.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Теорія ринкових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/>
        </w:rPr>
        <w:t>імперфекцій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. Моделі та теорії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Теорія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/>
        </w:rPr>
        <w:t>інтерналізації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. Еклектична модель міжнародного виробництва OLI.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Динамічна модель конкурентних переваг країн.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Оцінка ризиків прямих інвестицій у різних країнах.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Використання теорії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інтерналізації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оптимізації ресурсів.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Порівняння класичних та сучасних моделей ТНК.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Стратегії управління міжнародними інвестиціями.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Аналіз переваг і недоліків різних інвестиційних моделей.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Використання OLI для стратегічного планування.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Вплив глобальної конкуренції на інвестиційні рішення.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Суть і переваги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/>
        </w:rPr>
        <w:t>інтерналізації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Правило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/>
        </w:rPr>
        <w:t>інтерналізації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. Фактори і перспективи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/>
        </w:rPr>
        <w:t>інтерналізаційних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процесів у ТНК.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Економічні моделі вибору транснаціональної діяльності. Метод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/>
        </w:rPr>
        <w:t>Хірша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Оцінка економічної ефективності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інтерналізації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Вплив масштабу операцій на фінансові результати ТНК.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Методи оптимізації міжнародної діяльності.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Стратегічні наслідки концентрації та диверсифікації.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Інтеграція фінансового та стратегічного планування.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Вплив глобальних економічних змін на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інтерналізаційні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процеси.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Розробка моделей управління транснаціональною діяльністю.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Особливості</w:t>
      </w:r>
      <w:r w:rsidRPr="002938B4">
        <w:rPr>
          <w:rFonts w:ascii="Times New Roman" w:eastAsia="Times New Roman" w:hAnsi="Times New Roman"/>
          <w:spacing w:val="-6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стратегічного</w:t>
      </w:r>
      <w:r w:rsidRPr="002938B4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менеджменту</w:t>
      </w:r>
      <w:r w:rsidRPr="002938B4">
        <w:rPr>
          <w:rFonts w:ascii="Times New Roman" w:eastAsia="Times New Roman" w:hAnsi="Times New Roman"/>
          <w:spacing w:val="-10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для</w:t>
      </w:r>
      <w:r w:rsidRPr="002938B4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ТНК.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Стратегія</w:t>
      </w:r>
      <w:r w:rsidRPr="002938B4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ТНК</w:t>
      </w:r>
      <w:r w:rsidRPr="002938B4">
        <w:rPr>
          <w:rFonts w:ascii="Times New Roman" w:eastAsia="Times New Roman" w:hAnsi="Times New Roman"/>
          <w:spacing w:val="-5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і</w:t>
      </w:r>
      <w:r w:rsidRPr="002938B4">
        <w:rPr>
          <w:rFonts w:ascii="Times New Roman" w:eastAsia="Times New Roman" w:hAnsi="Times New Roman"/>
          <w:spacing w:val="-6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конкурентні</w:t>
      </w:r>
      <w:r w:rsidRPr="002938B4">
        <w:rPr>
          <w:rFonts w:ascii="Times New Roman" w:eastAsia="Times New Roman" w:hAnsi="Times New Roman"/>
          <w:spacing w:val="-2"/>
          <w:sz w:val="24"/>
          <w:szCs w:val="24"/>
          <w:lang w:val="uk-UA"/>
        </w:rPr>
        <w:t xml:space="preserve"> переваги.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Аналіз потенціалу інтернаціональної</w:t>
      </w:r>
      <w:r w:rsidRPr="002938B4">
        <w:rPr>
          <w:rFonts w:ascii="Times New Roman" w:eastAsia="Times New Roman" w:hAnsi="Times New Roman"/>
          <w:spacing w:val="21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корпоративної стратегії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SWOT-аналіз</w:t>
      </w:r>
      <w:r w:rsidRPr="002938B4">
        <w:rPr>
          <w:rFonts w:ascii="Times New Roman" w:eastAsia="Times New Roman" w:hAnsi="Times New Roman"/>
          <w:spacing w:val="-6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у</w:t>
      </w:r>
      <w:r w:rsidRPr="002938B4">
        <w:rPr>
          <w:rFonts w:ascii="Times New Roman" w:eastAsia="Times New Roman" w:hAnsi="Times New Roman"/>
          <w:spacing w:val="-6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розробці</w:t>
      </w:r>
      <w:r w:rsidRPr="002938B4">
        <w:rPr>
          <w:rFonts w:ascii="Times New Roman" w:eastAsia="Times New Roman" w:hAnsi="Times New Roman"/>
          <w:spacing w:val="-4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стратегій</w:t>
      </w:r>
      <w:r w:rsidRPr="002938B4">
        <w:rPr>
          <w:rFonts w:ascii="Times New Roman" w:eastAsia="Times New Roman" w:hAnsi="Times New Roman"/>
          <w:spacing w:val="-6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ТНК.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Конкурентні</w:t>
      </w:r>
      <w:r w:rsidRPr="002938B4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стратегії</w:t>
      </w:r>
      <w:r w:rsidRPr="002938B4">
        <w:rPr>
          <w:rFonts w:ascii="Times New Roman" w:eastAsia="Times New Roman" w:hAnsi="Times New Roman"/>
          <w:spacing w:val="-8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pacing w:val="-4"/>
          <w:sz w:val="24"/>
          <w:szCs w:val="24"/>
          <w:lang w:val="uk-UA"/>
        </w:rPr>
        <w:t>ТНК.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Глобальні</w:t>
      </w:r>
      <w:r w:rsidRPr="002938B4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конкурентні</w:t>
      </w:r>
      <w:r w:rsidRPr="002938B4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сили.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Глобальні</w:t>
      </w:r>
      <w:r w:rsidRPr="002938B4">
        <w:rPr>
          <w:rFonts w:ascii="Times New Roman" w:eastAsia="Times New Roman" w:hAnsi="Times New Roman"/>
          <w:spacing w:val="-3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стратегії</w:t>
      </w:r>
      <w:r w:rsidRPr="002938B4">
        <w:rPr>
          <w:rFonts w:ascii="Times New Roman" w:eastAsia="Times New Roman" w:hAnsi="Times New Roman"/>
          <w:spacing w:val="-3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та</w:t>
      </w:r>
      <w:r w:rsidRPr="002938B4">
        <w:rPr>
          <w:rFonts w:ascii="Times New Roman" w:eastAsia="Times New Roman" w:hAnsi="Times New Roman"/>
          <w:spacing w:val="-5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умови</w:t>
      </w:r>
      <w:r w:rsidRPr="002938B4">
        <w:rPr>
          <w:rFonts w:ascii="Times New Roman" w:eastAsia="Times New Roman" w:hAnsi="Times New Roman"/>
          <w:spacing w:val="-5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їх</w:t>
      </w:r>
      <w:r w:rsidRPr="002938B4">
        <w:rPr>
          <w:rFonts w:ascii="Times New Roman" w:eastAsia="Times New Roman" w:hAnsi="Times New Roman"/>
          <w:spacing w:val="-3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використання.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Стратегія</w:t>
      </w:r>
      <w:r w:rsidRPr="002938B4">
        <w:rPr>
          <w:rFonts w:ascii="Times New Roman" w:eastAsia="Times New Roman" w:hAnsi="Times New Roman"/>
          <w:spacing w:val="-10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багатонаціональної</w:t>
      </w:r>
      <w:r w:rsidRPr="002938B4">
        <w:rPr>
          <w:rFonts w:ascii="Times New Roman" w:eastAsia="Times New Roman" w:hAnsi="Times New Roman"/>
          <w:spacing w:val="-9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диверсифікації.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Стратегії</w:t>
      </w:r>
      <w:r w:rsidRPr="002938B4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диверсифікації</w:t>
      </w:r>
      <w:r w:rsidRPr="002938B4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>і</w:t>
      </w:r>
      <w:r w:rsidRPr="002938B4">
        <w:rPr>
          <w:rFonts w:ascii="Times New Roman" w:eastAsia="Times New Roman" w:hAnsi="Times New Roman"/>
          <w:spacing w:val="-3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синергізм.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Стратегії</w:t>
      </w:r>
      <w:r w:rsidRPr="002938B4">
        <w:rPr>
          <w:rFonts w:ascii="Times New Roman" w:eastAsia="Times New Roman" w:hAnsi="Times New Roman"/>
          <w:spacing w:val="-3"/>
          <w:sz w:val="24"/>
          <w:szCs w:val="24"/>
          <w:lang w:val="uk-UA"/>
        </w:rPr>
        <w:t xml:space="preserve"> </w:t>
      </w:r>
      <w:proofErr w:type="spellStart"/>
      <w:r w:rsidRPr="002938B4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транснаціоналізації</w:t>
      </w:r>
      <w:proofErr w:type="spellEnd"/>
      <w:r w:rsidRPr="002938B4">
        <w:rPr>
          <w:rFonts w:ascii="Times New Roman" w:eastAsia="Times New Roman" w:hAnsi="Times New Roman"/>
          <w:spacing w:val="-2"/>
          <w:sz w:val="24"/>
          <w:szCs w:val="24"/>
          <w:lang w:val="uk-UA"/>
        </w:rPr>
        <w:t>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Використання PESTEL-аналізу для стратегічного планування.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Розробка стратегій виходу на нові ринки.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Управління ризиками глобальної конкуренції.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Використання KPI для оцінки ефективності стратегії.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Інтеграція локальних та глобальних стратегій.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Оцінка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синергетичного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ефекту диверсифікації.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tabs>
          <w:tab w:val="left" w:pos="956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Моніторинг та корекція стратегій у динамічному середовищі.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938B4">
        <w:rPr>
          <w:rFonts w:ascii="Times New Roman" w:hAnsi="Times New Roman"/>
          <w:sz w:val="24"/>
          <w:szCs w:val="24"/>
          <w:lang w:val="uk-UA"/>
        </w:rPr>
        <w:t xml:space="preserve">Оцінка середовища фінансової діяльності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938B4">
        <w:rPr>
          <w:rFonts w:ascii="Times New Roman" w:hAnsi="Times New Roman"/>
          <w:sz w:val="24"/>
          <w:szCs w:val="24"/>
          <w:lang w:val="uk-UA"/>
        </w:rPr>
        <w:t xml:space="preserve">Внутрішня фінансова структура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938B4">
        <w:rPr>
          <w:rFonts w:ascii="Times New Roman" w:hAnsi="Times New Roman"/>
          <w:sz w:val="24"/>
          <w:szCs w:val="24"/>
          <w:lang w:val="uk-UA"/>
        </w:rPr>
        <w:t xml:space="preserve">Теорія </w:t>
      </w:r>
      <w:proofErr w:type="spellStart"/>
      <w:r w:rsidRPr="002938B4">
        <w:rPr>
          <w:rFonts w:ascii="Times New Roman" w:hAnsi="Times New Roman"/>
          <w:sz w:val="24"/>
          <w:szCs w:val="24"/>
          <w:lang w:val="uk-UA"/>
        </w:rPr>
        <w:t>Модільяні-Міллера</w:t>
      </w:r>
      <w:proofErr w:type="spellEnd"/>
      <w:r w:rsidRPr="002938B4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938B4">
        <w:rPr>
          <w:rFonts w:ascii="Times New Roman" w:hAnsi="Times New Roman"/>
          <w:sz w:val="24"/>
          <w:szCs w:val="24"/>
          <w:lang w:val="uk-UA"/>
        </w:rPr>
        <w:t xml:space="preserve">Особливості фінансового менеджменту та бухгалтерського обліку ТНК.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938B4">
        <w:rPr>
          <w:rFonts w:ascii="Times New Roman" w:hAnsi="Times New Roman"/>
          <w:sz w:val="24"/>
          <w:szCs w:val="24"/>
          <w:lang w:val="uk-UA"/>
        </w:rPr>
        <w:t>Взаємодія ТНК зі світовими інститутами.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Управління оборотним капіталом.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Використання міжнародних фінансових інструментів.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Планування інвестиційної діяльності на глобальному рівні.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Стратегії мінімізації податкових ризиків.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Роль кредитування та залучення капіталу.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Аналіз фінансової стабільності у кризові періоди.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Вплив світових фінансових ринків на внутрішню фінансову структуру.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Технологія як фактор економічного зростання.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Інноваційна стратегія ТНК. ТНК і наукомісткий експорт.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Передача інновацій у країни, що розвиваються.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/>
        </w:rPr>
        <w:t>Основні методи передачі підприємницького досвіду в системі ТНК.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Методи інтеграції інноваційних технологій у міжнародну діяльність.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Оцінка ефективності наукомісткого експорту.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Використання франчайзингу та ліцензування для передачі технологій.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Міжнародне співробітництво у сфері НДДКР.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Роль ТНК у формуванні </w:t>
      </w:r>
      <w:proofErr w:type="spellStart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стартап-екосистем</w:t>
      </w:r>
      <w:proofErr w:type="spellEnd"/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країнах, що розвиваються.</w:t>
      </w:r>
      <w:r w:rsidRPr="002938B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Управління знаннями та ноу-хау у глобальних структурах. </w:t>
      </w:r>
    </w:p>
    <w:p w:rsidR="002938B4" w:rsidRPr="002938B4" w:rsidRDefault="002938B4" w:rsidP="002938B4">
      <w:pPr>
        <w:pStyle w:val="a4"/>
        <w:widowControl w:val="0"/>
        <w:numPr>
          <w:ilvl w:val="0"/>
          <w:numId w:val="2"/>
        </w:numPr>
        <w:autoSpaceDE w:val="0"/>
        <w:autoSpaceDN w:val="0"/>
        <w:rPr>
          <w:rFonts w:ascii="Times New Roman" w:eastAsia="Times New Roman" w:hAnsi="Times New Roman"/>
          <w:sz w:val="24"/>
          <w:szCs w:val="24"/>
          <w:lang w:val="uk-UA"/>
        </w:rPr>
      </w:pPr>
      <w:r w:rsidRPr="002938B4">
        <w:rPr>
          <w:rFonts w:ascii="Times New Roman" w:eastAsia="Times New Roman" w:hAnsi="Times New Roman"/>
          <w:sz w:val="24"/>
          <w:szCs w:val="24"/>
          <w:lang w:val="uk-UA" w:eastAsia="ru-RU"/>
        </w:rPr>
        <w:t>Вплив корпоративних інновацій на конкурентоспроможність національних ринків.</w:t>
      </w:r>
    </w:p>
    <w:p w:rsidR="00396600" w:rsidRDefault="00396600"/>
    <w:sectPr w:rsidR="00396600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CA4930"/>
    <w:multiLevelType w:val="hybridMultilevel"/>
    <w:tmpl w:val="CF5C77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38B4"/>
    <w:rsid w:val="00023D14"/>
    <w:rsid w:val="002938B4"/>
    <w:rsid w:val="00396600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B4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0"/>
    <w:link w:val="10"/>
    <w:qFormat/>
    <w:rsid w:val="002938B4"/>
    <w:pPr>
      <w:numPr>
        <w:numId w:val="1"/>
      </w:numPr>
      <w:suppressAutoHyphens/>
      <w:spacing w:before="280" w:after="280" w:line="240" w:lineRule="auto"/>
      <w:outlineLvl w:val="0"/>
    </w:pPr>
    <w:rPr>
      <w:rFonts w:ascii="Times" w:eastAsia="MS Mincho" w:hAnsi="Times" w:cs="Times"/>
      <w:b/>
      <w:bCs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qFormat/>
    <w:rsid w:val="002938B4"/>
    <w:pPr>
      <w:keepNext/>
      <w:keepLines/>
      <w:numPr>
        <w:ilvl w:val="1"/>
        <w:numId w:val="1"/>
      </w:numPr>
      <w:suppressAutoHyphens/>
      <w:spacing w:before="40" w:after="0" w:line="240" w:lineRule="auto"/>
      <w:outlineLvl w:val="1"/>
    </w:pPr>
    <w:rPr>
      <w:rFonts w:ascii="Calibri" w:eastAsia="MS Gothic" w:hAnsi="Calibri" w:cs="Calibri"/>
      <w:color w:val="365F91"/>
      <w:sz w:val="26"/>
      <w:szCs w:val="26"/>
      <w:lang w:eastAsia="zh-CN"/>
    </w:rPr>
  </w:style>
  <w:style w:type="paragraph" w:styleId="3">
    <w:name w:val="heading 3"/>
    <w:basedOn w:val="a"/>
    <w:next w:val="a"/>
    <w:link w:val="30"/>
    <w:qFormat/>
    <w:rsid w:val="002938B4"/>
    <w:pPr>
      <w:keepNext/>
      <w:keepLines/>
      <w:numPr>
        <w:ilvl w:val="2"/>
        <w:numId w:val="1"/>
      </w:numPr>
      <w:suppressAutoHyphens/>
      <w:spacing w:before="40" w:after="0" w:line="240" w:lineRule="auto"/>
      <w:outlineLvl w:val="2"/>
    </w:pPr>
    <w:rPr>
      <w:rFonts w:ascii="Calibri" w:eastAsia="MS Gothic" w:hAnsi="Calibri" w:cs="Calibri"/>
      <w:color w:val="243F60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2938B4"/>
    <w:pPr>
      <w:keepNext/>
      <w:keepLines/>
      <w:numPr>
        <w:ilvl w:val="3"/>
        <w:numId w:val="1"/>
      </w:numPr>
      <w:suppressAutoHyphens/>
      <w:spacing w:before="40" w:after="0" w:line="240" w:lineRule="auto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2938B4"/>
    <w:pPr>
      <w:keepNext/>
      <w:keepLines/>
      <w:numPr>
        <w:ilvl w:val="4"/>
        <w:numId w:val="1"/>
      </w:numPr>
      <w:suppressAutoHyphens/>
      <w:spacing w:before="40" w:after="0" w:line="240" w:lineRule="auto"/>
      <w:outlineLvl w:val="4"/>
    </w:pPr>
    <w:rPr>
      <w:rFonts w:ascii="Calibri" w:eastAsia="MS Gothic" w:hAnsi="Calibri" w:cs="Calibri"/>
      <w:color w:val="365F91"/>
      <w:sz w:val="24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2938B4"/>
    <w:pPr>
      <w:keepNext/>
      <w:keepLines/>
      <w:numPr>
        <w:ilvl w:val="5"/>
        <w:numId w:val="1"/>
      </w:numPr>
      <w:suppressAutoHyphens/>
      <w:spacing w:before="40" w:after="0" w:line="240" w:lineRule="auto"/>
      <w:outlineLvl w:val="5"/>
    </w:pPr>
    <w:rPr>
      <w:rFonts w:ascii="Calibri" w:eastAsia="MS Gothic" w:hAnsi="Calibri" w:cs="Calibri"/>
      <w:color w:val="243F60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938B4"/>
    <w:rPr>
      <w:rFonts w:ascii="Times" w:eastAsia="MS Mincho" w:hAnsi="Times" w:cs="Times"/>
      <w:b/>
      <w:bCs/>
      <w:kern w:val="2"/>
      <w:sz w:val="48"/>
      <w:szCs w:val="48"/>
      <w:lang w:val="ru-RU" w:eastAsia="zh-CN"/>
    </w:rPr>
  </w:style>
  <w:style w:type="character" w:customStyle="1" w:styleId="20">
    <w:name w:val="Заголовок 2 Знак"/>
    <w:basedOn w:val="a1"/>
    <w:link w:val="2"/>
    <w:rsid w:val="002938B4"/>
    <w:rPr>
      <w:rFonts w:ascii="Calibri" w:eastAsia="MS Gothic" w:hAnsi="Calibri" w:cs="Calibri"/>
      <w:color w:val="365F91"/>
      <w:sz w:val="26"/>
      <w:szCs w:val="26"/>
      <w:lang w:val="ru-RU" w:eastAsia="zh-CN"/>
    </w:rPr>
  </w:style>
  <w:style w:type="character" w:customStyle="1" w:styleId="30">
    <w:name w:val="Заголовок 3 Знак"/>
    <w:basedOn w:val="a1"/>
    <w:link w:val="3"/>
    <w:rsid w:val="002938B4"/>
    <w:rPr>
      <w:rFonts w:ascii="Calibri" w:eastAsia="MS Gothic" w:hAnsi="Calibri" w:cs="Calibri"/>
      <w:color w:val="243F60"/>
      <w:sz w:val="24"/>
      <w:szCs w:val="24"/>
      <w:lang w:val="ru-RU" w:eastAsia="zh-CN"/>
    </w:rPr>
  </w:style>
  <w:style w:type="character" w:customStyle="1" w:styleId="40">
    <w:name w:val="Заголовок 4 Знак"/>
    <w:basedOn w:val="a1"/>
    <w:link w:val="4"/>
    <w:rsid w:val="002938B4"/>
    <w:rPr>
      <w:rFonts w:ascii="Calibri" w:eastAsia="MS Gothic" w:hAnsi="Calibri" w:cs="Calibri"/>
      <w:i/>
      <w:iCs/>
      <w:color w:val="365F91"/>
      <w:sz w:val="24"/>
      <w:szCs w:val="24"/>
      <w:lang w:val="ru-RU" w:eastAsia="zh-CN"/>
    </w:rPr>
  </w:style>
  <w:style w:type="character" w:customStyle="1" w:styleId="50">
    <w:name w:val="Заголовок 5 Знак"/>
    <w:basedOn w:val="a1"/>
    <w:link w:val="5"/>
    <w:rsid w:val="002938B4"/>
    <w:rPr>
      <w:rFonts w:ascii="Calibri" w:eastAsia="MS Gothic" w:hAnsi="Calibri" w:cs="Calibri"/>
      <w:color w:val="365F91"/>
      <w:sz w:val="24"/>
      <w:szCs w:val="24"/>
      <w:lang w:val="ru-RU" w:eastAsia="zh-CN"/>
    </w:rPr>
  </w:style>
  <w:style w:type="character" w:customStyle="1" w:styleId="60">
    <w:name w:val="Заголовок 6 Знак"/>
    <w:basedOn w:val="a1"/>
    <w:link w:val="6"/>
    <w:rsid w:val="002938B4"/>
    <w:rPr>
      <w:rFonts w:ascii="Calibri" w:eastAsia="MS Gothic" w:hAnsi="Calibri" w:cs="Calibri"/>
      <w:color w:val="243F60"/>
      <w:sz w:val="24"/>
      <w:szCs w:val="24"/>
      <w:lang w:val="ru-RU" w:eastAsia="zh-CN"/>
    </w:rPr>
  </w:style>
  <w:style w:type="paragraph" w:styleId="a4">
    <w:name w:val="List Paragraph"/>
    <w:basedOn w:val="a"/>
    <w:uiPriority w:val="1"/>
    <w:qFormat/>
    <w:rsid w:val="002938B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kern w:val="2"/>
      <w:lang w:val="en-US"/>
    </w:rPr>
  </w:style>
  <w:style w:type="paragraph" w:styleId="a0">
    <w:name w:val="Body Text"/>
    <w:basedOn w:val="a"/>
    <w:link w:val="a5"/>
    <w:uiPriority w:val="99"/>
    <w:semiHidden/>
    <w:unhideWhenUsed/>
    <w:rsid w:val="002938B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2938B4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3958</Words>
  <Characters>2257</Characters>
  <Application>Microsoft Office Word</Application>
  <DocSecurity>0</DocSecurity>
  <Lines>18</Lines>
  <Paragraphs>12</Paragraphs>
  <ScaleCrop>false</ScaleCrop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2026-02-02T07:41:00Z</dcterms:created>
  <dcterms:modified xsi:type="dcterms:W3CDTF">2026-02-02T07:47:00Z</dcterms:modified>
</cp:coreProperties>
</file>