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Зв`язок з викладачем :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130805olga@gmail.com</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Сезн ЗНУ повідомлення: </w:t>
      </w:r>
      <w:hyperlink r:id="rId7">
        <w:r w:rsidDel="00000000" w:rsidR="00000000" w:rsidRPr="00000000">
          <w:rPr>
            <w:rFonts w:ascii="Times New Roman" w:cs="Times New Roman" w:eastAsia="Times New Roman" w:hAnsi="Times New Roman"/>
            <w:color w:val="1155cc"/>
            <w:sz w:val="24"/>
            <w:szCs w:val="24"/>
            <w:u w:val="single"/>
            <w:rtl w:val="0"/>
          </w:rPr>
          <w:t xml:space="preserve">https://moodle.znu.edu.ua/course/view.php?id=5679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Телефон: </w:t>
      </w:r>
      <w:r w:rsidDel="00000000" w:rsidR="00000000" w:rsidRPr="00000000">
        <w:rPr>
          <w:rFonts w:ascii="Times New Roman" w:cs="Times New Roman" w:eastAsia="Times New Roman" w:hAnsi="Times New Roman"/>
          <w:sz w:val="24"/>
          <w:szCs w:val="24"/>
          <w:rtl w:val="0"/>
        </w:rPr>
        <w:t xml:space="preserve">066-446-81-35 </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Інші засоби зв’язку: </w:t>
      </w:r>
      <w:r w:rsidDel="00000000" w:rsidR="00000000" w:rsidRPr="00000000">
        <w:rPr>
          <w:rFonts w:ascii="Times New Roman" w:cs="Times New Roman" w:eastAsia="Times New Roman" w:hAnsi="Times New Roman"/>
          <w:rtl w:val="0"/>
        </w:rPr>
        <w:t xml:space="preserve">Moodle (форум курсу, приватні повідомлення)</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Кафедра: </w:t>
      </w:r>
      <w:r w:rsidDel="00000000" w:rsidR="00000000" w:rsidRPr="00000000">
        <w:rPr>
          <w:rFonts w:ascii="Times New Roman" w:cs="Times New Roman" w:eastAsia="Times New Roman" w:hAnsi="Times New Roman"/>
          <w:rtl w:val="0"/>
        </w:rPr>
        <w:t xml:space="preserve">хімії, ІІІ корпус, ауд. 108</w:t>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008">
      <w:pPr>
        <w:spacing w:after="120" w:line="240" w:lineRule="auto"/>
        <w:ind w:left="28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1. Опис навчальної дисципліни</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009">
      <w:pPr>
        <w:spacing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Метою вивчення навчальної дисципліни «Основи технічного аналізу» є набуття студентами на базі фундаментальних знать  з аналітичної хімії практичних навичок при оцінці на промисловому виробництві якості сировини,контролю продукції по ходу технології та кінцевого продукту згідно схемам аналітичного контролю підприємств з різноманітними технологіями та їх екологічного стану. Методи технічного аналізу різноманітні в залежності від об’єкту контролю та його мети.</w:t>
      </w:r>
    </w:p>
    <w:p w:rsidR="00000000" w:rsidDel="00000000" w:rsidP="00000000" w:rsidRDefault="00000000" w:rsidRPr="00000000" w14:paraId="0000000A">
      <w:pPr>
        <w:spacing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Основними завданнями вивчення дисципліни «Основи технічного аналізу» є: усвідомлення важливості опануванням логікою проведення контролю, оцінці результатів для економічного ведення технологічних процесів.</w:t>
      </w:r>
    </w:p>
    <w:p w:rsidR="00000000" w:rsidDel="00000000" w:rsidP="00000000" w:rsidRDefault="00000000" w:rsidRPr="00000000" w14:paraId="0000000B">
      <w:pPr>
        <w:spacing w:line="240" w:lineRule="auto"/>
        <w:ind w:firstLine="708.6614173228347"/>
        <w:jc w:val="both"/>
        <w:rPr>
          <w:rFonts w:ascii="Times New Roman" w:cs="Times New Roman" w:eastAsia="Times New Roman" w:hAnsi="Times New Roman"/>
          <w:i w:val="1"/>
          <w:iCs w:val="1"/>
          <w:sz w:val="24"/>
          <w:szCs w:val="24"/>
        </w:rPr>
      </w:pPr>
      <w:bookmarkStart w:colFirst="0" w:colLast="0" w:name="_heading=h.xvfsw115igg1" w:id="0"/>
      <w:bookmarkEnd w:id="0"/>
      <w:r w:rsidDel="00000000" w:rsidR="00000000" w:rsidRPr="00000000">
        <w:rPr>
          <w:rFonts w:ascii="Times New Roman" w:cs="Times New Roman" w:eastAsia="Times New Roman" w:hAnsi="Times New Roman"/>
          <w:i w:val="1"/>
          <w:iCs w:val="1"/>
          <w:sz w:val="24"/>
          <w:szCs w:val="24"/>
          <w:rtl w:val="0"/>
        </w:rPr>
        <w:t xml:space="preserve">Здобуті знання, уміння і навички після закінчення курсу необхідні для написання Курсової роботи з основ технічного аналізу.</w:t>
      </w:r>
    </w:p>
    <w:p w:rsidR="00000000" w:rsidDel="00000000" w:rsidP="00000000" w:rsidRDefault="00000000" w:rsidRPr="00000000" w14:paraId="0000000C">
      <w:pPr>
        <w:tabs>
          <w:tab w:val="left" w:leader="none" w:pos="284"/>
          <w:tab w:val="left" w:leader="none" w:pos="709"/>
          <w:tab w:val="left" w:leader="none" w:pos="993"/>
        </w:tabs>
        <w:spacing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Дисципліна спрямована на формування у студентів навичок методично правильно організовувати експериментальну роботу на лабораторних заняттях в науково-навчальних лабораторіях, навичок практичного застосовування знань і навичок для вирішення технологічних та дослідницьких завдань, усвідомлення необхідності застосування набутих знань при вивченні спеціальних дисциплін а також в подальшій трудовій діяльності.</w:t>
      </w:r>
    </w:p>
    <w:p w:rsidR="00000000" w:rsidDel="00000000" w:rsidP="00000000" w:rsidRDefault="00000000" w:rsidRPr="00000000" w14:paraId="0000000D">
      <w:pPr>
        <w:spacing w:after="120" w:line="240" w:lineRule="auto"/>
        <w:ind w:left="283"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120" w:line="240" w:lineRule="auto"/>
        <w:ind w:left="28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Паспорт навчальної дисципліни</w:t>
      </w:r>
      <w:r w:rsidDel="00000000" w:rsidR="00000000" w:rsidRPr="00000000">
        <w:rPr>
          <w:rtl w:val="0"/>
        </w:rPr>
      </w:r>
    </w:p>
    <w:tbl>
      <w:tblPr>
        <w:tblStyle w:val="Table1"/>
        <w:tblW w:w="992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46"/>
        <w:tblGridChange w:id="0">
          <w:tblGrid>
            <w:gridCol w:w="2977"/>
            <w:gridCol w:w="6946"/>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Нормативні показники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денна форма здобуття освіти</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0"/>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дисципліни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Вибіркова</w:t>
            </w:r>
            <w:r w:rsidDel="00000000" w:rsidR="00000000" w:rsidRPr="00000000">
              <w:rPr>
                <w:rFonts w:ascii="Times New Roman" w:cs="Times New Roman" w:eastAsia="Times New Roman" w:hAnsi="Times New Roman"/>
                <w:sz w:val="28"/>
                <w:szCs w:val="28"/>
                <w:rtl w:val="0"/>
              </w:rPr>
              <w:t xml:space="preserve"> </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widowControl w:val="0"/>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6 -й</w:t>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after="60" w:before="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Кількість кредитів ECTS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0"/>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Лекційні заняття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год.</w:t>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Лабораторні заняття</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год.</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год.</w:t>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Консультації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понеділок 14.30-15.30  </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sz w:val="24"/>
                <w:szCs w:val="24"/>
                <w:rtl w:val="0"/>
              </w:rPr>
              <w:t xml:space="preserve">zoom: ідентифікатор 9414886867 код доступу bkbp60 )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підсумкового семестрового контролю: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залік</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Посилання на електронний курс у СЕЗН ЗНУ (платформа Moodle)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jc w:val="cente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https://moodle.znu.edu.ua/course/view.php?id=5679</w:t>
              </w:r>
            </w:hyperlink>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25">
      <w:pPr>
        <w:spacing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bCs w:val="1"/>
          <w:sz w:val="28"/>
          <w:szCs w:val="28"/>
          <w:rtl w:val="0"/>
        </w:rPr>
        <w:t xml:space="preserve">2. Методи досягнення запланованих освітньою програмою компетентностей і результатів навчання</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26">
      <w:pPr>
        <w:spacing w:line="240" w:lineRule="auto"/>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7">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2"/>
        <w:tblW w:w="1030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3120"/>
        <w:gridCol w:w="3825"/>
        <w:tblGridChange w:id="0">
          <w:tblGrid>
            <w:gridCol w:w="3360"/>
            <w:gridCol w:w="3120"/>
            <w:gridCol w:w="38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КОМПЕТЕНТНОСТІ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навчання</w:t>
            </w:r>
          </w:p>
          <w:p w:rsidR="00000000" w:rsidDel="00000000" w:rsidP="00000000" w:rsidRDefault="00000000" w:rsidRPr="00000000" w14:paraId="0000002A">
            <w:pPr>
              <w:widowControl w:val="0"/>
              <w:ind w:firstLine="295"/>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 і методи оцінювання</w:t>
            </w:r>
          </w:p>
        </w:tc>
      </w:tr>
      <w:tr>
        <w:trPr>
          <w:cantSplit w:val="0"/>
          <w:tblHeader w:val="0"/>
        </w:trPr>
        <w:tc>
          <w:tcPr>
            <w:tcBorders>
              <w:top w:color="000000" w:space="0" w:sz="4" w:val="single"/>
            </w:tcBorders>
          </w:tcPr>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ІК. Здатність розв’язувати складні спеціалізовані задачі та практичні проблеми хімії або у процесі навчання, що передбачає застосування певних теорій та методів природничих наук і характеризується комплексністю та невизначеністю умов.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tcBorders>
          </w:tcPr>
          <w:p w:rsidR="00000000" w:rsidDel="00000000" w:rsidP="00000000" w:rsidRDefault="00000000" w:rsidRPr="00000000" w14:paraId="00000030">
            <w:pPr>
              <w:widowControl w:val="0"/>
              <w:tabs>
                <w:tab w:val="left" w:leader="none" w:pos="38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1. Здатність до абстрактного мислення, аналізу та синтезу.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3">
            <w:pPr>
              <w:widowControl w:val="0"/>
              <w:tabs>
                <w:tab w:val="left" w:leader="none" w:pos="38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2. Здатність вчитися і оволодівати сучасними знаннями.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3. Здатність працювати у команді.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4.  Здатність до адаптації та дії в новій ситуації.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5.  Навички використання інформаційних і комунікаційних 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7.   Здатність спілкуватися з представниками інших професійних груп різного рівня (з експертами з інших галузей знань/видів економічної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rHeight w:val="1631" w:hRule="atLeast"/>
          <w:tblHeader w:val="0"/>
        </w:trPr>
        <w:tc>
          <w:tcPr/>
          <w:p w:rsidR="00000000" w:rsidDel="00000000" w:rsidP="00000000" w:rsidRDefault="00000000" w:rsidRPr="00000000" w14:paraId="00000042">
            <w:pPr>
              <w:widowControl w:val="0"/>
              <w:tabs>
                <w:tab w:val="left" w:leader="none" w:pos="38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9. Прагнення до збереження навколишнього середовища</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10. Здатність до пошуку, оброблення та аналізу інформації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11. Здатність бути критичним і самокритичним.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rHeight w:val="2508" w:hRule="atLeast"/>
          <w:tblHeader w:val="0"/>
        </w:trPr>
        <w:tc>
          <w:tcPr/>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1. Здатність застосовувати знання і розуміння математики та природничих наук для вирішення якісних та кількісних проблем в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rHeight w:val="1725" w:hRule="atLeast"/>
          <w:tblHeader w:val="0"/>
        </w:trPr>
        <w:tc>
          <w:tcPr/>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2. Здатність розпізнавати і аналізувати проблеми, застосовувати  обґрунтовані методи вирішення проблем, приймати обґрунтовані рішення в області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rHeight w:val="1725" w:hRule="atLeast"/>
          <w:tblHeader w:val="0"/>
        </w:trPr>
        <w:tc>
          <w:tcPr/>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3. Здатність оцінювати та забезпечувати якість виконуваних робіт  виходячи із вимог хімічної метрології та професійних стандартів в галузі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rHeight w:val="1725" w:hRule="atLeast"/>
          <w:tblHeader w:val="0"/>
        </w:trPr>
        <w:tc>
          <w:tcPr/>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5. Здатність здійснювати сучасні методи аналізу даних.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rHeight w:val="1725" w:hRule="atLeast"/>
          <w:tblHeader w:val="0"/>
        </w:trPr>
        <w:tc>
          <w:tcPr/>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6. Здатність оцінювати ризики.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rHeight w:val="1725" w:hRule="atLeast"/>
          <w:tblHeader w:val="0"/>
        </w:trPr>
        <w:tc>
          <w:tcPr/>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7. Здатність здійснювати типові хімічні лабораторні дослідження.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8. Здатність здійснювати кількісні вимірювання фізико-хімічних величин, описувати, аналізувати і критично оцінювати експериментальні данні.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9. Здатність використовувати стандартне хімічне обладнання.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66">
            <w:pPr>
              <w:widowControl w:val="0"/>
              <w:tabs>
                <w:tab w:val="left" w:leader="none" w:pos="53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10. Здатність до опанування нових областей хімії шляхом самостійного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69">
            <w:pPr>
              <w:widowControl w:val="0"/>
              <w:tabs>
                <w:tab w:val="left" w:leader="none" w:pos="53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СК 11. Здатність формулювати етичні та соціальні проблеми, які стоять перед хімією, та здатність застосовувати етичні стандарти  досліджень і професійної діяльності в галузі хімії (наукова доброчесність).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shd w:fill="ffffff" w:val="clear"/>
          </w:tcPr>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12. Здатність застосовувати сучасні уявлення про теорію будови, номенклатуру, методи одержання та хімічні перетворення речовин; взаємозв’язок будови, реакційної здатності та біологічної активності речовин.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p w:rsidR="00000000" w:rsidDel="00000000" w:rsidP="00000000" w:rsidRDefault="00000000" w:rsidRPr="00000000" w14:paraId="0000006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 Розуміти ключові хімічні поняття, основні факти, концепції, принципи і теорії, що стосуються природничих наук та наук про життя і землю, а також хімічних технологій на рівні, достатньому для їх застосування у професійній діяльності та для забезпечення можливості в подальшому глибоко розуміти спеціалізовані області хімії.</w:t>
            </w:r>
          </w:p>
        </w:tc>
        <w:tc>
          <w:tcPr/>
          <w:p w:rsidR="00000000" w:rsidDel="00000000" w:rsidP="00000000" w:rsidRDefault="00000000" w:rsidRPr="00000000" w14:paraId="00000070">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p w:rsidR="00000000" w:rsidDel="00000000" w:rsidP="00000000" w:rsidRDefault="00000000" w:rsidRPr="00000000" w14:paraId="00000071">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3. Описувати хімічні дані у символьному вигляді.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4. Розуміти основні закономірності та типи хімічних реакцій та їх характеристики.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5. Розуміти зв’язок між будовою та властивостями речовин.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6. Розуміти періодичний закон та періодичну систему елементів, описувати, пояснювати та передбачати властивості хімічних елементів та сполук на їх основі.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8. Знати принципи і процедури фізичних, хімічних, фізико-хімічних методів дослідження, типові обладнання та прилади.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9. Планувати та виконувати хімічний експеримент, застосовувати придатні методики та техніки приготування розчинів та реагентів.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14. Здійснювати експериментальну роботу з метою перевірки гіпотез та дослідження хімічних явищ і закономірностей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17. Працювати самостійно або в групі, отримати результат у межах обмеженого часу з наголосом на професійну сумлінність та наукову доброчесність.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18. Демонструвати знання та розуміння основних фактів, концепцій, принципів та теорій з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19. Використовувати свої знання, розуміння, компетенції та базові інженерно-технологічні навички на практиці для вирішення задач та проблем відомої природи.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20. Інтерпретувати експериментально отримані дані та співвідносити їх з відповідними теоріями в хімії.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25. Оцінювати та мінімізувати ризики для навколишнього середовища при здійсненні професійної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bl>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jc w:val="center"/>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098">
      <w:pPr>
        <w:spacing w:line="240" w:lineRule="auto"/>
        <w:jc w:val="center"/>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099">
      <w:pPr>
        <w:tabs>
          <w:tab w:val="left" w:leader="none" w:pos="284"/>
          <w:tab w:val="left" w:leader="none" w:pos="567"/>
        </w:tabs>
        <w:spacing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Зміст навчальної дисципліни</w:t>
      </w:r>
      <w:r w:rsidDel="00000000" w:rsidR="00000000" w:rsidRPr="00000000">
        <w:rPr>
          <w:rtl w:val="0"/>
        </w:rPr>
      </w:r>
    </w:p>
    <w:p w:rsidR="00000000" w:rsidDel="00000000" w:rsidP="00000000" w:rsidRDefault="00000000" w:rsidRPr="00000000" w14:paraId="0000009A">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B">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Тема 1. Вступ. Предмет та задачі технічного аналізу</w:t>
      </w:r>
    </w:p>
    <w:p w:rsidR="00000000" w:rsidDel="00000000" w:rsidP="00000000" w:rsidRDefault="00000000" w:rsidRPr="00000000" w14:paraId="0000009C">
      <w:pPr>
        <w:spacing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Структура, місце та значення технічного аналізу, зв’язок з практикою. Сучасний стан та тенденції розвитку технічного аналізу: впровадження інструментального аналізу, автоматизація, математизація, збільшення в контролі фізичних методів. Основні аналітичні проблеми: розробка еталонів, повірка мір та засобів вимірів, розробка еталонів на основі фізичних констант, підвищення точності методів та вибірковості.</w:t>
      </w:r>
    </w:p>
    <w:p w:rsidR="00000000" w:rsidDel="00000000" w:rsidP="00000000" w:rsidRDefault="00000000" w:rsidRPr="00000000" w14:paraId="0000009D">
      <w:pPr>
        <w:spacing w:line="240" w:lineRule="auto"/>
        <w:ind w:firstLine="72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2.</w:t>
      </w:r>
      <w:r w:rsidDel="00000000" w:rsidR="00000000" w:rsidRPr="00000000">
        <w:rPr>
          <w:rFonts w:ascii="Times New Roman" w:cs="Times New Roman" w:eastAsia="Times New Roman" w:hAnsi="Times New Roman"/>
          <w:sz w:val="24"/>
          <w:szCs w:val="24"/>
          <w:rtl w:val="0"/>
        </w:rPr>
        <w:t xml:space="preserve"> Тема 2. Методи кількісного технічного аналізу</w:t>
      </w:r>
    </w:p>
    <w:p w:rsidR="00000000" w:rsidDel="00000000" w:rsidP="00000000" w:rsidRDefault="00000000" w:rsidRPr="00000000" w14:paraId="0000009F">
      <w:pPr>
        <w:widowControl w:val="0"/>
        <w:spacing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Гравіметричний аналіз. Пряме і непряме визначення. Загальна схема визначення Силіцію та Нікелю у сталях, лігатурах, сплавах на основі Алюмінію, Титану. Вимоги до гравіметричної форми осаду.  Як змінюється склад осаду при прожарюванні. Систематична похибка. </w:t>
      </w:r>
    </w:p>
    <w:p w:rsidR="00000000" w:rsidDel="00000000" w:rsidP="00000000" w:rsidRDefault="00000000" w:rsidRPr="00000000" w14:paraId="000000A0">
      <w:pPr>
        <w:widowControl w:val="0"/>
        <w:spacing w:line="240" w:lineRule="auto"/>
        <w:ind w:firstLine="72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Тема 3. Титриметричні методи технічного аналізу. </w:t>
      </w:r>
    </w:p>
    <w:p w:rsidR="00000000" w:rsidDel="00000000" w:rsidP="00000000" w:rsidRDefault="00000000" w:rsidRPr="00000000" w14:paraId="000000A2">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firstLine="720"/>
        <w:jc w:val="both"/>
        <w:rPr>
          <w:rFonts w:ascii="Times New Roman" w:cs="Times New Roman" w:eastAsia="Times New Roman" w:hAnsi="Times New Roman"/>
          <w:i w:val="1"/>
          <w:iCs w:val="1"/>
          <w:sz w:val="24"/>
          <w:szCs w:val="24"/>
        </w:rPr>
      </w:pPr>
      <w:bookmarkStart w:colFirst="0" w:colLast="0" w:name="_heading=h.30j0zll" w:id="2"/>
      <w:bookmarkEnd w:id="2"/>
      <w:r w:rsidDel="00000000" w:rsidR="00000000" w:rsidRPr="00000000">
        <w:rPr>
          <w:rFonts w:ascii="Times New Roman" w:cs="Times New Roman" w:eastAsia="Times New Roman" w:hAnsi="Times New Roman"/>
          <w:i w:val="1"/>
          <w:iCs w:val="1"/>
          <w:sz w:val="24"/>
          <w:szCs w:val="24"/>
          <w:rtl w:val="0"/>
        </w:rPr>
        <w:t xml:space="preserve"> Кислотно-основне титрування. Вибір індикатора для титрування, вплив рН на результати аналізу. Визначення Бору та Нітрогену в сталях, чистих металах та сплавах. Проведення визначення похибок методик аналізу за однією серією експериментальних вимірів. Методики оцінки концентраційної залежності, випадкової залежності результатів вимірів. Порівняння результатів вимірів з методом потенціометричного титрування.  Значуща та незначуща відмінність. Нормативна документація, яка регламентує методи визначення похибок при проведенні хімічного аналізу. </w:t>
      </w:r>
    </w:p>
    <w:p w:rsidR="00000000" w:rsidDel="00000000" w:rsidP="00000000" w:rsidRDefault="00000000" w:rsidRPr="00000000" w14:paraId="000000A3">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Комплексонометричне титрування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Принцип комплексонометричного титрування. Властивості трилона Б. Металохромні індикатори, вимоги до індикаторів у комплекснометричному титруванні. Пряме і зворотнє титрування, межі їх використання. Селективність при використанні титранта Трилона Б. Похибки титрування при визначенні Алюмінію, Купруму, Нікелю. Визначенні Алюмінію, Купруму, Нікелю як основної речовини у чистих солях, похибки вимірювань та методи їх зниження. Методи стандартизації титранту. </w:t>
      </w:r>
    </w:p>
    <w:p w:rsidR="00000000" w:rsidDel="00000000" w:rsidP="00000000" w:rsidRDefault="00000000" w:rsidRPr="00000000" w14:paraId="000000A5">
      <w:pPr>
        <w:widowControl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firstLine="72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4.</w:t>
      </w:r>
      <w:r w:rsidDel="00000000" w:rsidR="00000000" w:rsidRPr="00000000">
        <w:rPr>
          <w:rFonts w:ascii="Times New Roman" w:cs="Times New Roman" w:eastAsia="Times New Roman" w:hAnsi="Times New Roman"/>
          <w:sz w:val="24"/>
          <w:szCs w:val="24"/>
          <w:rtl w:val="0"/>
        </w:rPr>
        <w:t xml:space="preserve"> Тема 5. Оптичні методи технічного аналізу </w:t>
      </w:r>
    </w:p>
    <w:p w:rsidR="00000000" w:rsidDel="00000000" w:rsidP="00000000" w:rsidRDefault="00000000" w:rsidRPr="00000000" w14:paraId="000000A7">
      <w:pPr>
        <w:spacing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Спектрофотометричний метод. Основні закони спектрофотометричного аналізу. Реакції, що використовують у спектрофотометричному аналізі. Органічні реагенти, умови утворення забарвлених комплексів. Вибір оптимальних умов утворення роданідного комплексу з Вольфрамом та Молібденом, заважаючий вплив Ванадію(IV). Методи підвищення точності визначення Вольфраму в присутності Ванадію. Методи градуювання та підвищення точності вимірів Вольфраму та Молібдену. Принцип методу компенсації у спектрофотометричному методі.</w:t>
      </w:r>
    </w:p>
    <w:p w:rsidR="00000000" w:rsidDel="00000000" w:rsidP="00000000" w:rsidRDefault="00000000" w:rsidRPr="00000000" w14:paraId="000000A8">
      <w:pPr>
        <w:spacing w:line="240" w:lineRule="auto"/>
        <w:ind w:firstLine="72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9">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5. </w:t>
      </w:r>
      <w:r w:rsidDel="00000000" w:rsidR="00000000" w:rsidRPr="00000000">
        <w:rPr>
          <w:rFonts w:ascii="Times New Roman" w:cs="Times New Roman" w:eastAsia="Times New Roman" w:hAnsi="Times New Roman"/>
          <w:sz w:val="24"/>
          <w:szCs w:val="24"/>
          <w:rtl w:val="0"/>
        </w:rPr>
        <w:t xml:space="preserve">Тема 6. </w:t>
      </w:r>
      <w:r w:rsidDel="00000000" w:rsidR="00000000" w:rsidRPr="00000000">
        <w:rPr>
          <w:rFonts w:ascii="Times New Roman" w:cs="Times New Roman" w:eastAsia="Times New Roman" w:hAnsi="Times New Roman"/>
          <w:sz w:val="24"/>
          <w:szCs w:val="24"/>
          <w:highlight w:val="white"/>
          <w:rtl w:val="0"/>
        </w:rPr>
        <w:t xml:space="preserve">Методи контролю екологічного стану довкілля</w:t>
      </w:r>
      <w:r w:rsidDel="00000000" w:rsidR="00000000" w:rsidRPr="00000000">
        <w:rPr>
          <w:rtl w:val="0"/>
        </w:rPr>
      </w:r>
    </w:p>
    <w:p w:rsidR="00000000" w:rsidDel="00000000" w:rsidP="00000000" w:rsidRDefault="00000000" w:rsidRPr="00000000" w14:paraId="000000AA">
      <w:pPr>
        <w:spacing w:line="240" w:lineRule="auto"/>
        <w:ind w:firstLine="720"/>
        <w:jc w:val="both"/>
        <w:rPr>
          <w:rFonts w:ascii="Times New Roman" w:cs="Times New Roman" w:eastAsia="Times New Roman" w:hAnsi="Times New Roman"/>
          <w:i w:val="1"/>
          <w:iCs w:val="1"/>
          <w:sz w:val="24"/>
          <w:szCs w:val="24"/>
        </w:rPr>
      </w:pPr>
      <w:bookmarkStart w:colFirst="0" w:colLast="0" w:name="_heading=h.1fob9te" w:id="3"/>
      <w:bookmarkEnd w:id="3"/>
      <w:r w:rsidDel="00000000" w:rsidR="00000000" w:rsidRPr="00000000">
        <w:rPr>
          <w:rFonts w:ascii="Times New Roman" w:cs="Times New Roman" w:eastAsia="Times New Roman" w:hAnsi="Times New Roman"/>
          <w:i w:val="1"/>
          <w:iCs w:val="1"/>
          <w:sz w:val="24"/>
          <w:szCs w:val="24"/>
          <w:highlight w:val="white"/>
          <w:rtl w:val="0"/>
        </w:rPr>
        <w:t xml:space="preserve">Основні об’єкти забруднення: атмосферне повітря, вода, грунт. Небезпечні складові, що забруднюють довкілля: важкі метали, нафтопродукти, пестициди, їх вплив на стан довкілля, живі істоти та людину. Методи контролю: тестові, хімічні, спектрофотометричні, фізичні. Визначення вмісту нафтопродуктів у зливних водах підприємств: спектрофотометрія в УФ-області спектру, флуориметрія, їх можливості та обмеження. Газова хроматографія. Визначення залпових викидів тестовими методами. </w:t>
      </w:r>
      <w:r w:rsidDel="00000000" w:rsidR="00000000" w:rsidRPr="00000000">
        <w:rPr>
          <w:rFonts w:ascii="Times New Roman" w:cs="Times New Roman" w:eastAsia="Times New Roman" w:hAnsi="Times New Roman"/>
          <w:i w:val="1"/>
          <w:iCs w:val="1"/>
          <w:sz w:val="24"/>
          <w:szCs w:val="24"/>
          <w:rtl w:val="0"/>
        </w:rPr>
        <w:t xml:space="preserve">Методи атомно-абсорбційної спектрофотометрії в контролі довкілля, принципи і обмеження. Методи пробовідбору зразків води, ґрунту, повітря. ГДК забруднюючих складових.</w:t>
      </w:r>
    </w:p>
    <w:p w:rsidR="00000000" w:rsidDel="00000000" w:rsidP="00000000" w:rsidRDefault="00000000" w:rsidRPr="00000000" w14:paraId="000000AB">
      <w:pPr>
        <w:spacing w:line="240" w:lineRule="auto"/>
        <w:ind w:firstLine="720"/>
        <w:jc w:val="both"/>
        <w:rPr>
          <w:rFonts w:ascii="Times New Roman" w:cs="Times New Roman" w:eastAsia="Times New Roman" w:hAnsi="Times New Roman"/>
          <w:i w:val="1"/>
          <w:iCs w:val="1"/>
          <w:sz w:val="24"/>
          <w:szCs w:val="24"/>
        </w:rPr>
      </w:pPr>
      <w:bookmarkStart w:colFirst="0" w:colLast="0" w:name="_heading=h.3znysh7" w:id="4"/>
      <w:bookmarkEnd w:id="4"/>
      <w:r w:rsidDel="00000000" w:rsidR="00000000" w:rsidRPr="00000000">
        <w:rPr>
          <w:rtl w:val="0"/>
        </w:rPr>
      </w:r>
    </w:p>
    <w:p w:rsidR="00000000" w:rsidDel="00000000" w:rsidP="00000000" w:rsidRDefault="00000000" w:rsidRPr="00000000" w14:paraId="000000AC">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6.</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Тема 7. Фізичні методи технічного аналізу</w:t>
      </w:r>
    </w:p>
    <w:p w:rsidR="00000000" w:rsidDel="00000000" w:rsidP="00000000" w:rsidRDefault="00000000" w:rsidRPr="00000000" w14:paraId="000000AD">
      <w:pPr>
        <w:spacing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Емісійний спектральний аналіз. Джерела збудження спектрів. Об’єкти аналізу. Рентгенофлуоресцентний аналіз.  Локальний спектральний аналіз, дослідження дефектів структури та форм знаходження шкідливих домішок в структурі сплавів.</w:t>
      </w:r>
    </w:p>
    <w:p w:rsidR="00000000" w:rsidDel="00000000" w:rsidP="00000000" w:rsidRDefault="00000000" w:rsidRPr="00000000" w14:paraId="000000AE">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F">
      <w:pPr>
        <w:shd w:fill="ffffff" w:val="clear"/>
        <w:spacing w:line="240" w:lineRule="auto"/>
        <w:jc w:val="both"/>
        <w:rPr>
          <w:sz w:val="15"/>
          <w:szCs w:val="15"/>
          <w:shd w:fill="e8e8e8" w:val="clear"/>
        </w:rPr>
      </w:pPr>
      <w:r w:rsidDel="00000000" w:rsidR="00000000" w:rsidRPr="00000000">
        <w:rPr>
          <w:rtl w:val="0"/>
        </w:rPr>
      </w:r>
    </w:p>
    <w:p w:rsidR="00000000" w:rsidDel="00000000" w:rsidP="00000000" w:rsidRDefault="00000000" w:rsidRPr="00000000" w14:paraId="000000B0">
      <w:pPr>
        <w:shd w:fill="ffffff" w:val="clear"/>
        <w:spacing w:line="240" w:lineRule="auto"/>
        <w:jc w:val="both"/>
        <w:rPr>
          <w:sz w:val="15"/>
          <w:szCs w:val="15"/>
          <w:shd w:fill="e8e8e8" w:val="clear"/>
        </w:rPr>
      </w:pPr>
      <w:r w:rsidDel="00000000" w:rsidR="00000000" w:rsidRPr="00000000">
        <w:rPr>
          <w:rtl w:val="0"/>
        </w:rPr>
      </w:r>
    </w:p>
    <w:p w:rsidR="00000000" w:rsidDel="00000000" w:rsidP="00000000" w:rsidRDefault="00000000" w:rsidRPr="00000000" w14:paraId="000000B1">
      <w:pPr>
        <w:shd w:fill="ffffff" w:val="clear"/>
        <w:spacing w:line="240" w:lineRule="auto"/>
        <w:jc w:val="both"/>
        <w:rPr>
          <w:sz w:val="15"/>
          <w:szCs w:val="15"/>
          <w:shd w:fill="e8e8e8" w:val="clear"/>
        </w:rPr>
      </w:pPr>
      <w:r w:rsidDel="00000000" w:rsidR="00000000" w:rsidRPr="00000000">
        <w:rPr>
          <w:rtl w:val="0"/>
        </w:rPr>
      </w:r>
    </w:p>
    <w:p w:rsidR="00000000" w:rsidDel="00000000" w:rsidP="00000000" w:rsidRDefault="00000000" w:rsidRPr="00000000" w14:paraId="000000B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 Структура навчальної дисципліни </w:t>
      </w:r>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4">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3"/>
        <w:tblpPr w:leftFromText="180" w:rightFromText="180" w:topFromText="180" w:bottomFromText="180" w:vertAnchor="text" w:horzAnchor="text" w:tblpX="0" w:tblpY="0"/>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5245"/>
        <w:gridCol w:w="850"/>
        <w:gridCol w:w="709"/>
        <w:gridCol w:w="1843"/>
        <w:tblGridChange w:id="0">
          <w:tblGrid>
            <w:gridCol w:w="1418"/>
            <w:gridCol w:w="5245"/>
            <w:gridCol w:w="850"/>
            <w:gridCol w:w="709"/>
            <w:gridCol w:w="1843"/>
          </w:tblGrid>
        </w:tblGridChange>
      </w:tblGrid>
      <w:tr>
        <w:trPr>
          <w:cantSplit w:val="1"/>
          <w:tblHeader w:val="0"/>
        </w:trPr>
        <w:tc>
          <w:tcPr>
            <w:vMerge w:val="restart"/>
          </w:tcPr>
          <w:p w:rsidR="00000000" w:rsidDel="00000000" w:rsidP="00000000" w:rsidRDefault="00000000" w:rsidRPr="00000000" w14:paraId="000000B5">
            <w:pPr>
              <w:widowControl w:val="0"/>
              <w:ind w:left="-7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Вид заняття</w:t>
            </w:r>
            <w:r w:rsidDel="00000000" w:rsidR="00000000" w:rsidRPr="00000000">
              <w:rPr>
                <w:rtl w:val="0"/>
              </w:rPr>
            </w:r>
          </w:p>
          <w:p w:rsidR="00000000" w:rsidDel="00000000" w:rsidP="00000000" w:rsidRDefault="00000000" w:rsidRPr="00000000" w14:paraId="000000B6">
            <w:pPr>
              <w:widowControl w:val="0"/>
              <w:ind w:left="-7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/роботи</w:t>
            </w:r>
            <w:r w:rsidDel="00000000" w:rsidR="00000000" w:rsidRPr="00000000">
              <w:rPr>
                <w:rtl w:val="0"/>
              </w:rPr>
            </w:r>
          </w:p>
        </w:tc>
        <w:tc>
          <w:tcPr>
            <w:vMerge w:val="restart"/>
          </w:tcPr>
          <w:p w:rsidR="00000000" w:rsidDel="00000000" w:rsidP="00000000" w:rsidRDefault="00000000" w:rsidRPr="00000000" w14:paraId="000000B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Назва теми</w:t>
            </w:r>
            <w:r w:rsidDel="00000000" w:rsidR="00000000" w:rsidRPr="00000000">
              <w:rPr>
                <w:rtl w:val="0"/>
              </w:rPr>
            </w:r>
          </w:p>
        </w:tc>
        <w:tc>
          <w:tcPr>
            <w:gridSpan w:val="2"/>
          </w:tcPr>
          <w:p w:rsidR="00000000" w:rsidDel="00000000" w:rsidP="00000000" w:rsidRDefault="00000000" w:rsidRPr="00000000" w14:paraId="000000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Кількість</w:t>
            </w: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годин</w:t>
            </w:r>
            <w:r w:rsidDel="00000000" w:rsidR="00000000" w:rsidRPr="00000000">
              <w:rPr>
                <w:rtl w:val="0"/>
              </w:rPr>
            </w:r>
          </w:p>
        </w:tc>
        <w:tc>
          <w:tcPr/>
          <w:p w:rsidR="00000000" w:rsidDel="00000000" w:rsidP="00000000" w:rsidRDefault="00000000" w:rsidRPr="00000000" w14:paraId="000000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Згідно з розкладом</w:t>
            </w:r>
            <w:r w:rsidDel="00000000" w:rsidR="00000000" w:rsidRPr="00000000">
              <w:rPr>
                <w:rtl w:val="0"/>
              </w:rPr>
            </w:r>
          </w:p>
        </w:tc>
      </w:tr>
      <w:tr>
        <w:trPr>
          <w:cantSplit w:val="1"/>
          <w:trHeight w:val="268" w:hRule="atLeast"/>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о/д.ф.</w:t>
            </w:r>
            <w:r w:rsidDel="00000000" w:rsidR="00000000" w:rsidRPr="00000000">
              <w:rPr>
                <w:rtl w:val="0"/>
              </w:rPr>
            </w:r>
          </w:p>
        </w:tc>
        <w:tc>
          <w:tcPr/>
          <w:p w:rsidR="00000000" w:rsidDel="00000000" w:rsidP="00000000" w:rsidRDefault="00000000" w:rsidRPr="00000000" w14:paraId="000000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з.ф.</w:t>
            </w:r>
            <w:r w:rsidDel="00000000" w:rsidR="00000000" w:rsidRPr="00000000">
              <w:rPr>
                <w:rtl w:val="0"/>
              </w:rPr>
            </w:r>
          </w:p>
        </w:tc>
        <w:tc>
          <w:tcPr/>
          <w:p w:rsidR="00000000" w:rsidDel="00000000" w:rsidP="00000000" w:rsidRDefault="00000000" w:rsidRPr="00000000" w14:paraId="000000C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C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1 </w:t>
            </w:r>
          </w:p>
        </w:tc>
        <w:tc>
          <w:tcPr/>
          <w:p w:rsidR="00000000" w:rsidDel="00000000" w:rsidP="00000000" w:rsidRDefault="00000000" w:rsidRPr="00000000" w14:paraId="000000C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Вступ. Предмет та задачі технічного аналізу</w:t>
            </w:r>
            <w:r w:rsidDel="00000000" w:rsidR="00000000" w:rsidRPr="00000000">
              <w:rPr>
                <w:rtl w:val="0"/>
              </w:rPr>
            </w:r>
          </w:p>
        </w:tc>
        <w:tc>
          <w:tcPr/>
          <w:p w:rsidR="00000000" w:rsidDel="00000000" w:rsidP="00000000" w:rsidRDefault="00000000" w:rsidRPr="00000000" w14:paraId="000000C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C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C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C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1</w:t>
            </w:r>
          </w:p>
        </w:tc>
        <w:tc>
          <w:tcPr/>
          <w:p w:rsidR="00000000" w:rsidDel="00000000" w:rsidP="00000000" w:rsidRDefault="00000000" w:rsidRPr="00000000" w14:paraId="000000C7">
            <w:pPr>
              <w:spacing w:line="240" w:lineRule="auto"/>
              <w:ind w:left="360" w:firstLine="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Організація аналітичного контролю на виробництві</w:t>
            </w:r>
            <w:r w:rsidDel="00000000" w:rsidR="00000000" w:rsidRPr="00000000">
              <w:rPr>
                <w:rtl w:val="0"/>
              </w:rPr>
            </w:r>
          </w:p>
        </w:tc>
        <w:tc>
          <w:tcPr/>
          <w:p w:rsidR="00000000" w:rsidDel="00000000" w:rsidP="00000000" w:rsidRDefault="00000000" w:rsidRPr="00000000" w14:paraId="000000C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C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C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C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1</w:t>
            </w:r>
          </w:p>
        </w:tc>
        <w:tc>
          <w:tcPr/>
          <w:p w:rsidR="00000000" w:rsidDel="00000000" w:rsidP="00000000" w:rsidRDefault="00000000" w:rsidRPr="00000000" w14:paraId="000000CC">
            <w:pPr>
              <w:spacing w:line="24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Вступ. Предмет та задача технічного аналізу</w:t>
            </w:r>
          </w:p>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Розміщено в СЕЗН ЗНУ</w:t>
            </w:r>
            <w:r w:rsidDel="00000000" w:rsidR="00000000" w:rsidRPr="00000000">
              <w:rPr>
                <w:rtl w:val="0"/>
              </w:rPr>
            </w:r>
          </w:p>
        </w:tc>
        <w:tc>
          <w:tcPr/>
          <w:p w:rsidR="00000000" w:rsidDel="00000000" w:rsidP="00000000" w:rsidRDefault="00000000" w:rsidRPr="00000000" w14:paraId="000000C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C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D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D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2</w:t>
            </w:r>
          </w:p>
        </w:tc>
        <w:tc>
          <w:tcPr>
            <w:shd w:fill="auto" w:val="clear"/>
          </w:tcPr>
          <w:p w:rsidR="00000000" w:rsidDel="00000000" w:rsidP="00000000" w:rsidRDefault="00000000" w:rsidRPr="00000000" w14:paraId="000000D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Методи кількісного технічного аналізу</w:t>
            </w:r>
            <w:r w:rsidDel="00000000" w:rsidR="00000000" w:rsidRPr="00000000">
              <w:rPr>
                <w:rtl w:val="0"/>
              </w:rPr>
            </w:r>
          </w:p>
        </w:tc>
        <w:tc>
          <w:tcPr/>
          <w:p w:rsidR="00000000" w:rsidDel="00000000" w:rsidP="00000000" w:rsidRDefault="00000000" w:rsidRPr="00000000" w14:paraId="000000D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D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D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D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2</w:t>
            </w:r>
          </w:p>
        </w:tc>
        <w:tc>
          <w:tcPr/>
          <w:p w:rsidR="00000000" w:rsidDel="00000000" w:rsidP="00000000" w:rsidRDefault="00000000" w:rsidRPr="00000000" w14:paraId="000000D7">
            <w:pPr>
              <w:spacing w:line="240" w:lineRule="auto"/>
              <w:ind w:left="360" w:firstLine="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Пробовідбір та пробопідготовка. Розрахунки в технічному аналізі</w:t>
            </w:r>
            <w:r w:rsidDel="00000000" w:rsidR="00000000" w:rsidRPr="00000000">
              <w:rPr>
                <w:rtl w:val="0"/>
              </w:rPr>
            </w:r>
          </w:p>
        </w:tc>
        <w:tc>
          <w:tcPr/>
          <w:p w:rsidR="00000000" w:rsidDel="00000000" w:rsidP="00000000" w:rsidRDefault="00000000" w:rsidRPr="00000000" w14:paraId="000000D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D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D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2</w:t>
            </w:r>
          </w:p>
        </w:tc>
        <w:tc>
          <w:tcPr/>
          <w:p w:rsidR="00000000" w:rsidDel="00000000" w:rsidP="00000000" w:rsidRDefault="00000000" w:rsidRPr="00000000" w14:paraId="000000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кількісного технічного аналізу</w:t>
            </w:r>
          </w:p>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Розміщено в СЕЗН ЗНУ</w:t>
            </w:r>
            <w:r w:rsidDel="00000000" w:rsidR="00000000" w:rsidRPr="00000000">
              <w:rPr>
                <w:rtl w:val="0"/>
              </w:rPr>
            </w:r>
          </w:p>
        </w:tc>
        <w:tc>
          <w:tcPr/>
          <w:p w:rsidR="00000000" w:rsidDel="00000000" w:rsidP="00000000" w:rsidRDefault="00000000" w:rsidRPr="00000000" w14:paraId="000000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D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E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E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3</w:t>
            </w:r>
          </w:p>
        </w:tc>
        <w:tc>
          <w:tcPr>
            <w:shd w:fill="auto" w:val="clear"/>
          </w:tcPr>
          <w:p w:rsidR="00000000" w:rsidDel="00000000" w:rsidP="00000000" w:rsidRDefault="00000000" w:rsidRPr="00000000" w14:paraId="000000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Титриметричні методи технічного аналізу</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Комплексонометричне титрування</w:t>
            </w:r>
          </w:p>
        </w:tc>
        <w:tc>
          <w:tcPr/>
          <w:p w:rsidR="00000000" w:rsidDel="00000000" w:rsidP="00000000" w:rsidRDefault="00000000" w:rsidRPr="00000000" w14:paraId="000000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E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E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3</w:t>
            </w:r>
          </w:p>
        </w:tc>
        <w:tc>
          <w:tcPr/>
          <w:p w:rsidR="00000000" w:rsidDel="00000000" w:rsidP="00000000" w:rsidRDefault="00000000" w:rsidRPr="00000000" w14:paraId="000000E7">
            <w:pPr>
              <w:spacing w:line="240" w:lineRule="auto"/>
              <w:ind w:left="360" w:firstLine="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Аналіз природних та промислових вод. Визначення фізичних властивостей і хімічного складу води</w:t>
            </w:r>
            <w:r w:rsidDel="00000000" w:rsidR="00000000" w:rsidRPr="00000000">
              <w:rPr>
                <w:rtl w:val="0"/>
              </w:rPr>
            </w:r>
          </w:p>
        </w:tc>
        <w:tc>
          <w:tcPr/>
          <w:p w:rsidR="00000000" w:rsidDel="00000000" w:rsidP="00000000" w:rsidRDefault="00000000" w:rsidRPr="00000000" w14:paraId="000000E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E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E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E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3</w:t>
            </w:r>
          </w:p>
        </w:tc>
        <w:tc>
          <w:tcPr/>
          <w:p w:rsidR="00000000" w:rsidDel="00000000" w:rsidP="00000000" w:rsidRDefault="00000000" w:rsidRPr="00000000" w14:paraId="000000E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Титриметричні методи технічного аналізу</w:t>
            </w:r>
            <w:r w:rsidDel="00000000" w:rsidR="00000000" w:rsidRPr="00000000">
              <w:rPr>
                <w:rtl w:val="0"/>
              </w:rPr>
            </w:r>
          </w:p>
          <w:p w:rsidR="00000000" w:rsidDel="00000000" w:rsidP="00000000" w:rsidRDefault="00000000" w:rsidRPr="00000000" w14:paraId="000000E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Розміщено в СЕЗН ЗНУ</w:t>
            </w:r>
            <w:r w:rsidDel="00000000" w:rsidR="00000000" w:rsidRPr="00000000">
              <w:rPr>
                <w:rtl w:val="0"/>
              </w:rPr>
            </w:r>
          </w:p>
        </w:tc>
        <w:tc>
          <w:tcPr/>
          <w:p w:rsidR="00000000" w:rsidDel="00000000" w:rsidP="00000000" w:rsidRDefault="00000000" w:rsidRPr="00000000" w14:paraId="000000EE">
            <w:pPr>
              <w:widowControl w:val="0"/>
              <w:jc w:val="center"/>
              <w:rPr>
                <w:rFonts w:ascii="Times New Roman" w:cs="Times New Roman" w:eastAsia="Times New Roman" w:hAnsi="Times New Roman"/>
                <w:sz w:val="24"/>
                <w:szCs w:val="24"/>
              </w:rPr>
            </w:pPr>
            <w:bookmarkStart w:colFirst="0" w:colLast="0" w:name="_heading=h.97q4diowin7t" w:id="5"/>
            <w:bookmarkEnd w:id="5"/>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E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F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4</w:t>
            </w:r>
          </w:p>
        </w:tc>
        <w:tc>
          <w:tcPr/>
          <w:p w:rsidR="00000000" w:rsidDel="00000000" w:rsidP="00000000" w:rsidRDefault="00000000" w:rsidRPr="00000000" w14:paraId="000000F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Оптичні методи технічного аналізу</w:t>
            </w:r>
            <w:r w:rsidDel="00000000" w:rsidR="00000000" w:rsidRPr="00000000">
              <w:rPr>
                <w:rtl w:val="0"/>
              </w:rPr>
            </w:r>
          </w:p>
        </w:tc>
        <w:tc>
          <w:tcPr/>
          <w:p w:rsidR="00000000" w:rsidDel="00000000" w:rsidP="00000000" w:rsidRDefault="00000000" w:rsidRPr="00000000" w14:paraId="000000F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F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F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4</w:t>
            </w:r>
          </w:p>
        </w:tc>
        <w:tc>
          <w:tcPr/>
          <w:p w:rsidR="00000000" w:rsidDel="00000000" w:rsidP="00000000" w:rsidRDefault="00000000" w:rsidRPr="00000000" w14:paraId="000000F7">
            <w:pPr>
              <w:spacing w:line="24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Аналіз ґрунту</w:t>
            </w:r>
          </w:p>
        </w:tc>
        <w:tc>
          <w:tcPr/>
          <w:p w:rsidR="00000000" w:rsidDel="00000000" w:rsidP="00000000" w:rsidRDefault="00000000" w:rsidRPr="00000000" w14:paraId="000000F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F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4</w:t>
            </w:r>
          </w:p>
        </w:tc>
        <w:tc>
          <w:tcPr/>
          <w:p w:rsidR="00000000" w:rsidDel="00000000" w:rsidP="00000000" w:rsidRDefault="00000000" w:rsidRPr="00000000" w14:paraId="000000F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Комплексонометричне титрування</w:t>
            </w:r>
            <w:r w:rsidDel="00000000" w:rsidR="00000000" w:rsidRPr="00000000">
              <w:rPr>
                <w:rtl w:val="0"/>
              </w:rPr>
            </w:r>
          </w:p>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Розміщено в СЕЗН ЗНУ</w:t>
            </w:r>
            <w:r w:rsidDel="00000000" w:rsidR="00000000" w:rsidRPr="00000000">
              <w:rPr>
                <w:rtl w:val="0"/>
              </w:rPr>
            </w:r>
          </w:p>
        </w:tc>
        <w:tc>
          <w:tcPr/>
          <w:p w:rsidR="00000000" w:rsidDel="00000000" w:rsidP="00000000" w:rsidRDefault="00000000" w:rsidRPr="00000000" w14:paraId="000000F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F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0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0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5</w:t>
            </w:r>
          </w:p>
        </w:tc>
        <w:tc>
          <w:tcPr/>
          <w:p w:rsidR="00000000" w:rsidDel="00000000" w:rsidP="00000000" w:rsidRDefault="00000000" w:rsidRPr="00000000" w14:paraId="0000010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highlight w:val="white"/>
                <w:rtl w:val="0"/>
              </w:rPr>
              <w:t xml:space="preserve">Методи контролю екологічного стану довкілля</w:t>
            </w:r>
            <w:r w:rsidDel="00000000" w:rsidR="00000000" w:rsidRPr="00000000">
              <w:rPr>
                <w:rtl w:val="0"/>
              </w:rPr>
            </w:r>
          </w:p>
        </w:tc>
        <w:tc>
          <w:tcPr/>
          <w:p w:rsidR="00000000" w:rsidDel="00000000" w:rsidP="00000000" w:rsidRDefault="00000000" w:rsidRPr="00000000" w14:paraId="0000010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0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0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5</w:t>
            </w:r>
          </w:p>
        </w:tc>
        <w:tc>
          <w:tcPr/>
          <w:p w:rsidR="00000000" w:rsidDel="00000000" w:rsidP="00000000" w:rsidRDefault="00000000" w:rsidRPr="00000000" w14:paraId="00000107">
            <w:pPr>
              <w:spacing w:line="24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Аналіз нерудних копалин. Неповний технічний аналіз вапняків</w:t>
            </w:r>
          </w:p>
        </w:tc>
        <w:tc>
          <w:tcPr/>
          <w:p w:rsidR="00000000" w:rsidDel="00000000" w:rsidP="00000000" w:rsidRDefault="00000000" w:rsidRPr="00000000" w14:paraId="0000010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0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0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5</w:t>
            </w:r>
          </w:p>
        </w:tc>
        <w:tc>
          <w:tcPr/>
          <w:p w:rsidR="00000000" w:rsidDel="00000000" w:rsidP="00000000" w:rsidRDefault="00000000" w:rsidRPr="00000000" w14:paraId="000001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Оптичні методи технічного аналізу</w:t>
            </w:r>
            <w:r w:rsidDel="00000000" w:rsidR="00000000" w:rsidRPr="00000000">
              <w:rPr>
                <w:rtl w:val="0"/>
              </w:rPr>
            </w:r>
          </w:p>
          <w:p w:rsidR="00000000" w:rsidDel="00000000" w:rsidP="00000000" w:rsidRDefault="00000000" w:rsidRPr="00000000" w14:paraId="0000010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Розміщено в СЕЗН ЗНУ</w:t>
            </w:r>
            <w:r w:rsidDel="00000000" w:rsidR="00000000" w:rsidRPr="00000000">
              <w:rPr>
                <w:rtl w:val="0"/>
              </w:rPr>
            </w:r>
          </w:p>
        </w:tc>
        <w:tc>
          <w:tcPr/>
          <w:p w:rsidR="00000000" w:rsidDel="00000000" w:rsidP="00000000" w:rsidRDefault="00000000" w:rsidRPr="00000000" w14:paraId="0000010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0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1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1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6</w:t>
            </w:r>
          </w:p>
        </w:tc>
        <w:tc>
          <w:tcPr/>
          <w:p w:rsidR="00000000" w:rsidDel="00000000" w:rsidP="00000000" w:rsidRDefault="00000000" w:rsidRPr="00000000" w14:paraId="00000112">
            <w:pPr>
              <w:spacing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Фізичні методи технічного аналізу</w:t>
            </w:r>
            <w:r w:rsidDel="00000000" w:rsidR="00000000" w:rsidRPr="00000000">
              <w:rPr>
                <w:rtl w:val="0"/>
              </w:rPr>
            </w:r>
          </w:p>
        </w:tc>
        <w:tc>
          <w:tcPr/>
          <w:p w:rsidR="00000000" w:rsidDel="00000000" w:rsidP="00000000" w:rsidRDefault="00000000" w:rsidRPr="00000000" w14:paraId="0000011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1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1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1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6</w:t>
            </w:r>
          </w:p>
        </w:tc>
        <w:tc>
          <w:tcPr/>
          <w:p w:rsidR="00000000" w:rsidDel="00000000" w:rsidP="00000000" w:rsidRDefault="00000000" w:rsidRPr="00000000" w14:paraId="00000117">
            <w:pPr>
              <w:spacing w:line="24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Кількісне визначення вмісту кремнезему у силікатних породах</w:t>
            </w:r>
          </w:p>
          <w:p w:rsidR="00000000" w:rsidDel="00000000" w:rsidP="00000000" w:rsidRDefault="00000000" w:rsidRPr="00000000" w14:paraId="00000118">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1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1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1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6</w:t>
            </w:r>
          </w:p>
        </w:tc>
        <w:tc>
          <w:tcPr/>
          <w:p w:rsidR="00000000" w:rsidDel="00000000" w:rsidP="00000000" w:rsidRDefault="00000000" w:rsidRPr="00000000" w14:paraId="0000011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Методи контролю екологічного стану довкілля</w:t>
            </w:r>
            <w:r w:rsidDel="00000000" w:rsidR="00000000" w:rsidRPr="00000000">
              <w:rPr>
                <w:rtl w:val="0"/>
              </w:rPr>
            </w:r>
          </w:p>
          <w:p w:rsidR="00000000" w:rsidDel="00000000" w:rsidP="00000000" w:rsidRDefault="00000000" w:rsidRPr="00000000" w14:paraId="0000011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Розміщено в СЕЗН ЗНУ</w:t>
            </w:r>
            <w:r w:rsidDel="00000000" w:rsidR="00000000" w:rsidRPr="00000000">
              <w:rPr>
                <w:rtl w:val="0"/>
              </w:rPr>
            </w:r>
          </w:p>
        </w:tc>
        <w:tc>
          <w:tcPr/>
          <w:p w:rsidR="00000000" w:rsidDel="00000000" w:rsidP="00000000" w:rsidRDefault="00000000" w:rsidRPr="00000000" w14:paraId="0000011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2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2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2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7</w:t>
            </w:r>
          </w:p>
        </w:tc>
        <w:tc>
          <w:tcPr/>
          <w:p w:rsidR="00000000" w:rsidDel="00000000" w:rsidP="00000000" w:rsidRDefault="00000000" w:rsidRPr="00000000" w14:paraId="00000123">
            <w:pPr>
              <w:spacing w:line="24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Аналіз мінералів і руд чорних металів. Аналіз залізної руди на вміст заліза (III) і (II), нерозчинного залишку</w:t>
            </w:r>
          </w:p>
        </w:tc>
        <w:tc>
          <w:tcPr/>
          <w:p w:rsidR="00000000" w:rsidDel="00000000" w:rsidP="00000000" w:rsidRDefault="00000000" w:rsidRPr="00000000" w14:paraId="0000012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2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2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2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8</w:t>
            </w:r>
          </w:p>
        </w:tc>
        <w:tc>
          <w:tcPr/>
          <w:p w:rsidR="00000000" w:rsidDel="00000000" w:rsidP="00000000" w:rsidRDefault="00000000" w:rsidRPr="00000000" w14:paraId="00000128">
            <w:pPr>
              <w:spacing w:line="24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Методи аналізу металів та сплавів. Аналіз металів та сплавів. Аналіз цинкових сплавів</w:t>
            </w:r>
          </w:p>
        </w:tc>
        <w:tc>
          <w:tcPr/>
          <w:p w:rsidR="00000000" w:rsidDel="00000000" w:rsidP="00000000" w:rsidRDefault="00000000" w:rsidRPr="00000000" w14:paraId="0000012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2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2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2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7</w:t>
            </w:r>
          </w:p>
        </w:tc>
        <w:tc>
          <w:tcPr/>
          <w:p w:rsidR="00000000" w:rsidDel="00000000" w:rsidP="00000000" w:rsidRDefault="00000000" w:rsidRPr="00000000" w14:paraId="0000012D">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Фізичні методи технічного аналізу</w:t>
            </w:r>
          </w:p>
          <w:p w:rsidR="00000000" w:rsidDel="00000000" w:rsidP="00000000" w:rsidRDefault="00000000" w:rsidRPr="00000000" w14:paraId="000001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Розміщено в СЕЗН ЗНУ</w:t>
            </w:r>
          </w:p>
        </w:tc>
        <w:tc>
          <w:tcPr/>
          <w:p w:rsidR="00000000" w:rsidDel="00000000" w:rsidP="00000000" w:rsidRDefault="00000000" w:rsidRPr="00000000" w14:paraId="0000012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3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3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13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9</w:t>
            </w:r>
          </w:p>
        </w:tc>
        <w:tc>
          <w:tcPr/>
          <w:p w:rsidR="00000000" w:rsidDel="00000000" w:rsidP="00000000" w:rsidRDefault="00000000" w:rsidRPr="00000000" w14:paraId="00000133">
            <w:pPr>
              <w:spacing w:line="240" w:lineRule="auto"/>
              <w:ind w:left="360" w:firstLine="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Аналіз твердого палива</w:t>
            </w:r>
          </w:p>
        </w:tc>
        <w:tc>
          <w:tcPr/>
          <w:p w:rsidR="00000000" w:rsidDel="00000000" w:rsidP="00000000" w:rsidRDefault="00000000" w:rsidRPr="00000000" w14:paraId="0000013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3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3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1 раз на тиждень </w:t>
            </w:r>
            <w:r w:rsidDel="00000000" w:rsidR="00000000" w:rsidRPr="00000000">
              <w:rPr>
                <w:rtl w:val="0"/>
              </w:rPr>
            </w:r>
          </w:p>
        </w:tc>
      </w:tr>
    </w:tbl>
    <w:p w:rsidR="00000000" w:rsidDel="00000000" w:rsidP="00000000" w:rsidRDefault="00000000" w:rsidRPr="00000000" w14:paraId="00000137">
      <w:pPr>
        <w:spacing w:line="240" w:lineRule="auto"/>
        <w:ind w:left="927"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spacing w:line="240" w:lineRule="auto"/>
        <w:ind w:left="927"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Види і зміст контрольних заходів </w:t>
      </w:r>
    </w:p>
    <w:p w:rsidR="00000000" w:rsidDel="00000000" w:rsidP="00000000" w:rsidRDefault="00000000" w:rsidRPr="00000000" w14:paraId="00000139">
      <w:pPr>
        <w:spacing w:line="240" w:lineRule="auto"/>
        <w:ind w:left="927"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3A">
      <w:pPr>
        <w:spacing w:line="240" w:lineRule="auto"/>
        <w:ind w:left="927" w:firstLine="0"/>
        <w:jc w:val="center"/>
        <w:rPr>
          <w:rFonts w:ascii="Times New Roman" w:cs="Times New Roman" w:eastAsia="Times New Roman" w:hAnsi="Times New Roman"/>
          <w:sz w:val="20"/>
          <w:szCs w:val="20"/>
        </w:rPr>
      </w:pPr>
      <w:r w:rsidDel="00000000" w:rsidR="00000000" w:rsidRPr="00000000">
        <w:rPr>
          <w:rtl w:val="0"/>
        </w:rPr>
      </w:r>
    </w:p>
    <w:tbl>
      <w:tblPr>
        <w:tblStyle w:val="Table4"/>
        <w:tblW w:w="10185.0" w:type="dxa"/>
        <w:jc w:val="left"/>
        <w:tblInd w:w="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1275"/>
        <w:gridCol w:w="3270"/>
        <w:gridCol w:w="3405"/>
        <w:gridCol w:w="840"/>
        <w:tblGridChange w:id="0">
          <w:tblGrid>
            <w:gridCol w:w="1395"/>
            <w:gridCol w:w="1275"/>
            <w:gridCol w:w="3270"/>
            <w:gridCol w:w="3405"/>
            <w:gridCol w:w="84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заняття/роботи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поточного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Критерії оцінювання</w:t>
            </w:r>
          </w:p>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Усього балів</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34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Поточний контроль</w:t>
            </w:r>
            <w:r w:rsidDel="00000000" w:rsidR="00000000" w:rsidRPr="00000000">
              <w:rPr>
                <w:rtl w:val="0"/>
              </w:rPr>
            </w:r>
          </w:p>
        </w:tc>
      </w:tr>
      <w:tr>
        <w:trPr>
          <w:cantSplit w:val="0"/>
          <w:trHeight w:val="352" w:hRule="atLeast"/>
          <w:tblHeader w:val="0"/>
        </w:trPr>
        <w:tc>
          <w:tcPr>
            <w:shd w:fill="auto" w:val="clear"/>
          </w:tcPr>
          <w:p w:rsidR="00000000" w:rsidDel="00000000" w:rsidP="00000000" w:rsidRDefault="00000000" w:rsidRPr="00000000" w14:paraId="0000014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1. </w:t>
            </w:r>
          </w:p>
        </w:tc>
        <w:tc>
          <w:tcPr>
            <w:shd w:fill="auto" w:val="clear"/>
          </w:tcPr>
          <w:p w:rsidR="00000000" w:rsidDel="00000000" w:rsidP="00000000" w:rsidRDefault="00000000" w:rsidRPr="00000000" w14:paraId="0000014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4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p w:rsidR="00000000" w:rsidDel="00000000" w:rsidP="00000000" w:rsidRDefault="00000000" w:rsidRPr="00000000" w14:paraId="0000014E">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4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tc>
        <w:tc>
          <w:tcPr>
            <w:shd w:fill="auto" w:val="clear"/>
          </w:tcPr>
          <w:p w:rsidR="00000000" w:rsidDel="00000000" w:rsidP="00000000" w:rsidRDefault="00000000" w:rsidRPr="00000000" w14:paraId="0000015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5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5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5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№1</w:t>
            </w:r>
          </w:p>
        </w:tc>
        <w:tc>
          <w:tcPr>
            <w:shd w:fill="auto" w:val="clear"/>
          </w:tcPr>
          <w:p w:rsidR="00000000" w:rsidDel="00000000" w:rsidP="00000000" w:rsidRDefault="00000000" w:rsidRPr="00000000" w14:paraId="0000015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5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58">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5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5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5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5C">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r w:rsidDel="00000000" w:rsidR="00000000" w:rsidRPr="00000000">
              <w:rPr>
                <w:rtl w:val="0"/>
              </w:rPr>
            </w:r>
          </w:p>
        </w:tc>
        <w:tc>
          <w:tcPr>
            <w:shd w:fill="auto" w:val="clear"/>
          </w:tcPr>
          <w:p w:rsidR="00000000" w:rsidDel="00000000" w:rsidP="00000000" w:rsidRDefault="00000000" w:rsidRPr="00000000" w14:paraId="0000015D">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5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5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6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61">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62">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6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2. </w:t>
            </w:r>
          </w:p>
        </w:tc>
        <w:tc>
          <w:tcPr>
            <w:shd w:fill="auto" w:val="clear"/>
          </w:tcPr>
          <w:p w:rsidR="00000000" w:rsidDel="00000000" w:rsidP="00000000" w:rsidRDefault="00000000" w:rsidRPr="00000000" w14:paraId="0000016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 </w:t>
            </w:r>
          </w:p>
          <w:p w:rsidR="00000000" w:rsidDel="00000000" w:rsidP="00000000" w:rsidRDefault="00000000" w:rsidRPr="00000000" w14:paraId="00000166">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6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p w:rsidR="00000000" w:rsidDel="00000000" w:rsidP="00000000" w:rsidRDefault="00000000" w:rsidRPr="00000000" w14:paraId="00000168">
            <w:pPr>
              <w:spacing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6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6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6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6C">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r w:rsidDel="00000000" w:rsidR="00000000" w:rsidRPr="00000000">
              <w:rPr>
                <w:rtl w:val="0"/>
              </w:rPr>
            </w:r>
          </w:p>
        </w:tc>
        <w:tc>
          <w:tcPr>
            <w:shd w:fill="auto" w:val="clear"/>
          </w:tcPr>
          <w:p w:rsidR="00000000" w:rsidDel="00000000" w:rsidP="00000000" w:rsidRDefault="00000000" w:rsidRPr="00000000" w14:paraId="0000016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2. </w:t>
            </w:r>
          </w:p>
        </w:tc>
        <w:tc>
          <w:tcPr>
            <w:shd w:fill="auto" w:val="clear"/>
          </w:tcPr>
          <w:p w:rsidR="00000000" w:rsidDel="00000000" w:rsidP="00000000" w:rsidRDefault="00000000" w:rsidRPr="00000000" w14:paraId="0000016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7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71">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7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7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7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75">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r w:rsidDel="00000000" w:rsidR="00000000" w:rsidRPr="00000000">
              <w:rPr>
                <w:rtl w:val="0"/>
              </w:rPr>
            </w:r>
          </w:p>
        </w:tc>
        <w:tc>
          <w:tcPr>
            <w:shd w:fill="auto" w:val="clear"/>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7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7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7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7A">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7B">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7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3. </w:t>
            </w:r>
          </w:p>
        </w:tc>
        <w:tc>
          <w:tcPr>
            <w:shd w:fill="auto" w:val="clear"/>
          </w:tcPr>
          <w:p w:rsidR="00000000" w:rsidDel="00000000" w:rsidP="00000000" w:rsidRDefault="00000000" w:rsidRPr="00000000" w14:paraId="0000017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7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tc>
        <w:tc>
          <w:tcPr>
            <w:shd w:fill="auto" w:val="clear"/>
          </w:tcPr>
          <w:p w:rsidR="00000000" w:rsidDel="00000000" w:rsidP="00000000" w:rsidRDefault="00000000" w:rsidRPr="00000000" w14:paraId="0000018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tc>
        <w:tc>
          <w:tcPr>
            <w:shd w:fill="auto" w:val="clear"/>
          </w:tcPr>
          <w:p w:rsidR="00000000" w:rsidDel="00000000" w:rsidP="00000000" w:rsidRDefault="00000000" w:rsidRPr="00000000" w14:paraId="0000018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8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8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84">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r w:rsidDel="00000000" w:rsidR="00000000" w:rsidRPr="00000000">
              <w:rPr>
                <w:rtl w:val="0"/>
              </w:rPr>
            </w:r>
          </w:p>
        </w:tc>
        <w:tc>
          <w:tcPr>
            <w:shd w:fill="auto" w:val="clear"/>
          </w:tcPr>
          <w:p w:rsidR="00000000" w:rsidDel="00000000" w:rsidP="00000000" w:rsidRDefault="00000000" w:rsidRPr="00000000" w14:paraId="00000185">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№3</w:t>
            </w:r>
          </w:p>
        </w:tc>
        <w:tc>
          <w:tcPr>
            <w:shd w:fill="auto" w:val="clear"/>
          </w:tcPr>
          <w:p w:rsidR="00000000" w:rsidDel="00000000" w:rsidP="00000000" w:rsidRDefault="00000000" w:rsidRPr="00000000" w14:paraId="0000018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8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89">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8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8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8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8D">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r w:rsidDel="00000000" w:rsidR="00000000" w:rsidRPr="00000000">
              <w:rPr>
                <w:rtl w:val="0"/>
              </w:rPr>
            </w:r>
          </w:p>
        </w:tc>
        <w:tc>
          <w:tcPr>
            <w:shd w:fill="auto" w:val="clear"/>
          </w:tcPr>
          <w:p w:rsidR="00000000" w:rsidDel="00000000" w:rsidP="00000000" w:rsidRDefault="00000000" w:rsidRPr="00000000" w14:paraId="0000018E">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8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9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9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92">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93">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9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4.</w:t>
            </w:r>
          </w:p>
        </w:tc>
        <w:tc>
          <w:tcPr>
            <w:shd w:fill="auto" w:val="clear"/>
          </w:tcPr>
          <w:p w:rsidR="00000000" w:rsidDel="00000000" w:rsidP="00000000" w:rsidRDefault="00000000" w:rsidRPr="00000000" w14:paraId="0000019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97">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98">
            <w:pPr>
              <w:widowControl w:val="0"/>
              <w:tabs>
                <w:tab w:val="left" w:leader="none" w:pos="5505"/>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tc>
        <w:tc>
          <w:tcPr>
            <w:shd w:fill="auto" w:val="clear"/>
          </w:tcPr>
          <w:p w:rsidR="00000000" w:rsidDel="00000000" w:rsidP="00000000" w:rsidRDefault="00000000" w:rsidRPr="00000000" w14:paraId="0000019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9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9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9C">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r w:rsidDel="00000000" w:rsidR="00000000" w:rsidRPr="00000000">
              <w:rPr>
                <w:rtl w:val="0"/>
              </w:rPr>
            </w:r>
          </w:p>
        </w:tc>
        <w:tc>
          <w:tcPr>
            <w:shd w:fill="auto" w:val="clear"/>
          </w:tcPr>
          <w:p w:rsidR="00000000" w:rsidDel="00000000" w:rsidP="00000000" w:rsidRDefault="00000000" w:rsidRPr="00000000" w14:paraId="0000019D">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4. </w:t>
            </w:r>
          </w:p>
        </w:tc>
        <w:tc>
          <w:tcPr>
            <w:shd w:fill="auto" w:val="clear"/>
          </w:tcPr>
          <w:p w:rsidR="00000000" w:rsidDel="00000000" w:rsidP="00000000" w:rsidRDefault="00000000" w:rsidRPr="00000000" w14:paraId="0000019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A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A1">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A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A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A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A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A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A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A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A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AA">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AB">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A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5. </w:t>
            </w:r>
          </w:p>
        </w:tc>
        <w:tc>
          <w:tcPr>
            <w:shd w:fill="auto" w:val="clear"/>
          </w:tcPr>
          <w:p w:rsidR="00000000" w:rsidDel="00000000" w:rsidP="00000000" w:rsidRDefault="00000000" w:rsidRPr="00000000" w14:paraId="000001A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A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tc>
        <w:tc>
          <w:tcPr>
            <w:shd w:fill="auto" w:val="clear"/>
          </w:tcPr>
          <w:p w:rsidR="00000000" w:rsidDel="00000000" w:rsidP="00000000" w:rsidRDefault="00000000" w:rsidRPr="00000000" w14:paraId="000001B0">
            <w:pPr>
              <w:tabs>
                <w:tab w:val="left" w:leader="none" w:pos="2124"/>
                <w:tab w:val="left" w:leader="none" w:pos="2832"/>
                <w:tab w:val="left" w:leader="none" w:pos="3540"/>
                <w:tab w:val="left" w:leader="none" w:pos="3977"/>
                <w:tab w:val="center" w:leader="none" w:pos="4734"/>
                <w:tab w:val="left" w:leader="none" w:pos="5297"/>
                <w:tab w:val="left" w:leader="none" w:pos="5606"/>
                <w:tab w:val="left" w:leader="none" w:pos="6429"/>
                <w:tab w:val="left" w:leader="none" w:pos="7954"/>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tc>
        <w:tc>
          <w:tcPr>
            <w:shd w:fill="auto" w:val="clear"/>
          </w:tcPr>
          <w:p w:rsidR="00000000" w:rsidDel="00000000" w:rsidP="00000000" w:rsidRDefault="00000000" w:rsidRPr="00000000" w14:paraId="000001B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B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B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B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5. </w:t>
            </w:r>
          </w:p>
        </w:tc>
        <w:tc>
          <w:tcPr>
            <w:shd w:fill="auto" w:val="clear"/>
          </w:tcPr>
          <w:p w:rsidR="00000000" w:rsidDel="00000000" w:rsidP="00000000" w:rsidRDefault="00000000" w:rsidRPr="00000000" w14:paraId="000001B7">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1B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B9">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B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 Робота оформлена відповідно поставлених вимог.</w:t>
            </w:r>
          </w:p>
          <w:p w:rsidR="00000000" w:rsidDel="00000000" w:rsidP="00000000" w:rsidRDefault="00000000" w:rsidRPr="00000000" w14:paraId="000001B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B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B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B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B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C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C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C2">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C3">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6. </w:t>
            </w:r>
          </w:p>
        </w:tc>
        <w:tc>
          <w:tcPr>
            <w:shd w:fill="auto" w:val="clear"/>
          </w:tcPr>
          <w:p w:rsidR="00000000" w:rsidDel="00000000" w:rsidP="00000000" w:rsidRDefault="00000000" w:rsidRPr="00000000" w14:paraId="000001C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C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tc>
        <w:tc>
          <w:tcPr>
            <w:shd w:fill="auto" w:val="clear"/>
          </w:tcPr>
          <w:p w:rsidR="00000000" w:rsidDel="00000000" w:rsidP="00000000" w:rsidRDefault="00000000" w:rsidRPr="00000000" w14:paraId="000001C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p w:rsidR="00000000" w:rsidDel="00000000" w:rsidP="00000000" w:rsidRDefault="00000000" w:rsidRPr="00000000" w14:paraId="000001C9">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C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C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C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C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6. </w:t>
            </w:r>
          </w:p>
        </w:tc>
        <w:tc>
          <w:tcPr>
            <w:shd w:fill="auto" w:val="clear"/>
          </w:tcPr>
          <w:p w:rsidR="00000000" w:rsidDel="00000000" w:rsidP="00000000" w:rsidRDefault="00000000" w:rsidRPr="00000000" w14:paraId="000001D0">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1D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D2">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D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D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D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D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D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D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DB">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DC">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7. </w:t>
            </w:r>
          </w:p>
        </w:tc>
        <w:tc>
          <w:tcPr>
            <w:shd w:fill="auto" w:val="clear"/>
          </w:tcPr>
          <w:p w:rsidR="00000000" w:rsidDel="00000000" w:rsidP="00000000" w:rsidRDefault="00000000" w:rsidRPr="00000000" w14:paraId="000001D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E0">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E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tc>
        <w:tc>
          <w:tcPr>
            <w:shd w:fill="auto" w:val="clear"/>
          </w:tcPr>
          <w:p w:rsidR="00000000" w:rsidDel="00000000" w:rsidP="00000000" w:rsidRDefault="00000000" w:rsidRPr="00000000" w14:paraId="000001E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E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E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E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7.</w:t>
            </w:r>
          </w:p>
        </w:tc>
        <w:tc>
          <w:tcPr>
            <w:shd w:fill="auto" w:val="clear"/>
          </w:tcPr>
          <w:p w:rsidR="00000000" w:rsidDel="00000000" w:rsidP="00000000" w:rsidRDefault="00000000" w:rsidRPr="00000000" w14:paraId="000001E8">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1E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EA">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E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E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E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E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E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F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F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F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F3">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F4">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8. </w:t>
            </w:r>
          </w:p>
        </w:tc>
        <w:tc>
          <w:tcPr>
            <w:shd w:fill="auto" w:val="clear"/>
          </w:tcPr>
          <w:p w:rsidR="00000000" w:rsidDel="00000000" w:rsidP="00000000" w:rsidRDefault="00000000" w:rsidRPr="00000000" w14:paraId="000001F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F8">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F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p w:rsidR="00000000" w:rsidDel="00000000" w:rsidP="00000000" w:rsidRDefault="00000000" w:rsidRPr="00000000" w14:paraId="000001FA">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F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F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F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F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F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8. </w:t>
            </w:r>
          </w:p>
        </w:tc>
        <w:tc>
          <w:tcPr>
            <w:shd w:fill="auto" w:val="clear"/>
          </w:tcPr>
          <w:p w:rsidR="00000000" w:rsidDel="00000000" w:rsidP="00000000" w:rsidRDefault="00000000" w:rsidRPr="00000000" w14:paraId="00000201">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20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203">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20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20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0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20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20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20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20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20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20C">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20D">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20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9. </w:t>
            </w:r>
          </w:p>
        </w:tc>
        <w:tc>
          <w:tcPr>
            <w:shd w:fill="auto" w:val="clear"/>
          </w:tcPr>
          <w:p w:rsidR="00000000" w:rsidDel="00000000" w:rsidP="00000000" w:rsidRDefault="00000000" w:rsidRPr="00000000" w14:paraId="0000021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211">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21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Розміщено в СЕЗН ЗНУ</w:t>
            </w:r>
          </w:p>
        </w:tc>
        <w:tc>
          <w:tcPr>
            <w:shd w:fill="auto" w:val="clear"/>
          </w:tcPr>
          <w:p w:rsidR="00000000" w:rsidDel="00000000" w:rsidP="00000000" w:rsidRDefault="00000000" w:rsidRPr="00000000" w14:paraId="0000021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21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21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21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21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9. </w:t>
            </w:r>
          </w:p>
        </w:tc>
        <w:tc>
          <w:tcPr>
            <w:shd w:fill="auto" w:val="clear"/>
          </w:tcPr>
          <w:p w:rsidR="00000000" w:rsidDel="00000000" w:rsidP="00000000" w:rsidRDefault="00000000" w:rsidRPr="00000000" w14:paraId="00000219">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21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21B">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C">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21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21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21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22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22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22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22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22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225">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226">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22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Усього поточний контроль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60</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Підсумковий контроль</w:t>
            </w:r>
            <w:r w:rsidDel="00000000" w:rsidR="00000000" w:rsidRPr="00000000">
              <w:rPr>
                <w:rtl w:val="0"/>
              </w:rPr>
            </w:r>
          </w:p>
        </w:tc>
      </w:tr>
      <w:tr>
        <w:trPr>
          <w:cantSplit w:val="0"/>
          <w:trHeight w:val="1343" w:hRule="atLeast"/>
          <w:tblHeader w:val="0"/>
        </w:trPr>
        <w:tc>
          <w:tcPr/>
          <w:p w:rsidR="00000000" w:rsidDel="00000000" w:rsidP="00000000" w:rsidRDefault="00000000" w:rsidRPr="00000000" w14:paraId="00000232">
            <w:pPr>
              <w:spacing w:line="240" w:lineRule="auto"/>
              <w:ind w:left="113" w:right="113"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Екзамен </w:t>
            </w:r>
          </w:p>
        </w:tc>
        <w:tc>
          <w:tcPr/>
          <w:p w:rsidR="00000000" w:rsidDel="00000000" w:rsidP="00000000" w:rsidRDefault="00000000" w:rsidRPr="00000000" w14:paraId="00000233">
            <w:pPr>
              <w:spacing w:line="240" w:lineRule="auto"/>
              <w:ind w:firstLine="3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Завдання</w:t>
            </w:r>
          </w:p>
        </w:tc>
        <w:tc>
          <w:tcPr/>
          <w:p w:rsidR="00000000" w:rsidDel="00000000" w:rsidP="00000000" w:rsidRDefault="00000000" w:rsidRPr="00000000" w14:paraId="0000023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Індивідуальні дослідницькі завдання повинні містити аналіз сучасного стану обраного питання. Виконується у вигляді доповіді і презентації. Обсяг доповіді ІДЗ повинен бути розрахований на 7-10 хв. Доповідь повинна складатись зі вступу, в якому висвітлена актуальність, мета дослідження, завдання, об'єкт та предмет (1-2 хв.) повне висвітлення питань, висновки та додається список використаних джерел. Презентація ІДЗ повинна містити таблиці, графіки та рисунки та складатись з 15-20 слайдів.</w:t>
            </w:r>
          </w:p>
          <w:p w:rsidR="00000000" w:rsidDel="00000000" w:rsidP="00000000" w:rsidRDefault="00000000" w:rsidRPr="00000000" w14:paraId="0000023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ІДЗ повинно бути виконано протягом семестру та представлено до захисту до початку залікового тижня. </w:t>
            </w:r>
          </w:p>
          <w:p w:rsidR="00000000" w:rsidDel="00000000" w:rsidP="00000000" w:rsidRDefault="00000000" w:rsidRPr="00000000" w14:paraId="0000023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Питання для виконання ІДЗ обираються відповідно до номера прізвища студента у журналі академічної групи.</w:t>
            </w:r>
          </w:p>
          <w:p w:rsidR="00000000" w:rsidDel="00000000" w:rsidP="00000000" w:rsidRDefault="00000000" w:rsidRPr="00000000" w14:paraId="0000023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Орієнтовані питання для виконання завдання викладено на сторінці СЕЗН ЗНУ на платформі Moodle.</w:t>
            </w:r>
          </w:p>
        </w:tc>
        <w:tc>
          <w:tcPr/>
          <w:p w:rsidR="00000000" w:rsidDel="00000000" w:rsidP="00000000" w:rsidRDefault="00000000" w:rsidRPr="00000000" w14:paraId="0000023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19-20 балів </w:t>
            </w:r>
            <w:r w:rsidDel="00000000" w:rsidR="00000000" w:rsidRPr="00000000">
              <w:rPr>
                <w:rFonts w:ascii="Times New Roman" w:cs="Times New Roman" w:eastAsia="Times New Roman" w:hAnsi="Times New Roman"/>
                <w:sz w:val="20"/>
                <w:szCs w:val="20"/>
                <w:rtl w:val="0"/>
              </w:rPr>
              <w:t xml:space="preserve">– здобувачі освіти самостійно виконали понад 90% завдань під час виконання роботи виявили усебічні, систематичні та глибокі знання програмного матеріалу з дисципліни, уміння ставити мету і формулювати завдання досліджень; творчі здібності у розумінні та використанні програмного матеріалу для виконання поставлених мети і завдань; чітко, логічно, послідовно викладати матеріал; робити обґрунтовані висновки. Під час захисту індивідуального задання надавали вичерпні, аргументовані та цілісні відповіді на всі запитання. Робота оформлена акуратно, відповідно до поставлених вимог.</w:t>
            </w:r>
          </w:p>
          <w:p w:rsidR="00000000" w:rsidDel="00000000" w:rsidP="00000000" w:rsidRDefault="00000000" w:rsidRPr="00000000" w14:paraId="0000023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17-18 балів</w:t>
            </w:r>
            <w:r w:rsidDel="00000000" w:rsidR="00000000" w:rsidRPr="00000000">
              <w:rPr>
                <w:rFonts w:ascii="Times New Roman" w:cs="Times New Roman" w:eastAsia="Times New Roman" w:hAnsi="Times New Roman"/>
                <w:sz w:val="20"/>
                <w:szCs w:val="20"/>
                <w:rtl w:val="0"/>
              </w:rPr>
              <w:t xml:space="preserve"> – здобувачі  освіти виконали не менше 90% завдань, завдання роботи виконані достатньо грамотно, але є декілька (1-3) несуттєвих помилок. Під час виконання роботи здобувачі вищої освіти виявили знання і розуміння програмного матеріалу з дисципліни у повному обсязі, уміння ставити мету і формулювати завдання досліджень; творчій підхід до виконання поставлених мети і завдань; логічно, послідовно викладати матеріал; роботи  обґрунтовані висновки. Під час захисту індивідуального завдання загалом надавати аргументовані, без суттєвих помилок, відповіді на всі запитання. У цілому робота оформлена акуратно, але наявні незначні неточності в її оформленні та презентації.</w:t>
            </w:r>
          </w:p>
          <w:p w:rsidR="00000000" w:rsidDel="00000000" w:rsidP="00000000" w:rsidRDefault="00000000" w:rsidRPr="00000000" w14:paraId="0000023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15-16 балів</w:t>
            </w:r>
            <w:r w:rsidDel="00000000" w:rsidR="00000000" w:rsidRPr="00000000">
              <w:rPr>
                <w:rFonts w:ascii="Times New Roman" w:cs="Times New Roman" w:eastAsia="Times New Roman" w:hAnsi="Times New Roman"/>
                <w:sz w:val="20"/>
                <w:szCs w:val="20"/>
                <w:rtl w:val="0"/>
              </w:rPr>
              <w:t xml:space="preserve"> – здобувачі освіти виконали не менше 80% завдань, завдання роботи виконані достатньо грамотно, але є декілька (до 5) несуттєвих помилок. Під час виконання роботи здобувачі освіти виявили знання і розуміння програмного матеріалу з дисципліни з основних розділів, уміння ставити мету і формулювати завдання досліджень; логічно, послідовно викладати матеріал; робити висновки. Під час захисту індивідуального завдання відповідали достатньо грамотно, але припускались однієї-двох непринципових помилок. Робота оформлена акуратно, але наявні незначні неточності в її оформленні. </w:t>
            </w:r>
          </w:p>
          <w:p w:rsidR="00000000" w:rsidDel="00000000" w:rsidP="00000000" w:rsidRDefault="00000000" w:rsidRPr="00000000" w14:paraId="0000023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13-14 балів</w:t>
            </w:r>
            <w:r w:rsidDel="00000000" w:rsidR="00000000" w:rsidRPr="00000000">
              <w:rPr>
                <w:rFonts w:ascii="Times New Roman" w:cs="Times New Roman" w:eastAsia="Times New Roman" w:hAnsi="Times New Roman"/>
                <w:sz w:val="20"/>
                <w:szCs w:val="20"/>
                <w:rtl w:val="0"/>
              </w:rPr>
              <w:t xml:space="preserve"> – здобувачі освіти  виконали завдання не в повному обсязі, але не менше 70%.  Під час виконання роботи виявили знання й розуміння основних положень дисципліни; завдання виконали неповно, непослідовно; наявні неточності та помилки у змісті та оформленні роботи. Здобувачі освіти виявляють знання й розуміння основних положень матеріалу, але надають неповні, непослідовні відповіді. Під час захисту індивідуального завдання демонстрували недостатньо глибокі знання з досліджуваної теми,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23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10-12 балів </w:t>
            </w:r>
            <w:r w:rsidDel="00000000" w:rsidR="00000000" w:rsidRPr="00000000">
              <w:rPr>
                <w:rFonts w:ascii="Times New Roman" w:cs="Times New Roman" w:eastAsia="Times New Roman" w:hAnsi="Times New Roman"/>
                <w:sz w:val="20"/>
                <w:szCs w:val="20"/>
                <w:rtl w:val="0"/>
              </w:rPr>
              <w:t xml:space="preserve">– здобувачі освіти виконали завдання не в повному обсязі, але не менше ніж на 60%; у роботі присутні принципові помилки в оформленні. Під час виконання роботи виявили знання й розуміння основних положень матеріалу з дисципліни. Під час захисту та підготовки презентації продемонстрували поверхневі знання з досліджуваної теми, відповідали неповно, непослідовно, припускаючись невідповідностей у визначенні понять, не вміє переконливо обгрунтовувати свою думку.</w:t>
            </w:r>
          </w:p>
          <w:p w:rsidR="00000000" w:rsidDel="00000000" w:rsidP="00000000" w:rsidRDefault="00000000" w:rsidRPr="00000000" w14:paraId="0000023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0-9 балів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здобувачі освіти виконали понад 50% завдань. Під час виконання роботи припускались принципових помилок при розв’язанні завдань. Робота оформлена зі значним порушенням вимог. Необхідна досконала переробка роботи. Під час захисту 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 </w:t>
            </w:r>
          </w:p>
        </w:tc>
        <w:tc>
          <w:tcPr/>
          <w:p w:rsidR="00000000" w:rsidDel="00000000" w:rsidP="00000000" w:rsidRDefault="00000000" w:rsidRPr="00000000" w14:paraId="0000023E">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20</w:t>
            </w:r>
          </w:p>
        </w:tc>
      </w:tr>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Екзаменаційне випробування в усній формі за білетами (проводиться під час сесії)</w:t>
            </w:r>
          </w:p>
        </w:tc>
        <w:tc>
          <w:tcPr/>
          <w:p w:rsidR="00000000" w:rsidDel="00000000" w:rsidP="00000000" w:rsidRDefault="00000000" w:rsidRPr="00000000" w14:paraId="0000024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Залікове випробування в усній формі за білетами</w:t>
            </w:r>
            <w:r w:rsidDel="00000000" w:rsidR="00000000" w:rsidRPr="00000000">
              <w:rPr>
                <w:rFonts w:ascii="Times New Roman" w:cs="Times New Roman" w:eastAsia="Times New Roman" w:hAnsi="Times New Roman"/>
                <w:b w:val="1"/>
                <w:bCs w:val="1"/>
                <w:i w:val="1"/>
                <w:iCs w:val="1"/>
                <w:sz w:val="20"/>
                <w:szCs w:val="20"/>
                <w:rtl w:val="0"/>
              </w:rPr>
              <w:t xml:space="preserve"> (20 балів)</w:t>
            </w:r>
            <w:r w:rsidDel="00000000" w:rsidR="00000000" w:rsidRPr="00000000">
              <w:rPr>
                <w:rFonts w:ascii="Times New Roman" w:cs="Times New Roman" w:eastAsia="Times New Roman" w:hAnsi="Times New Roman"/>
                <w:sz w:val="20"/>
                <w:szCs w:val="20"/>
                <w:rtl w:val="0"/>
              </w:rPr>
              <w:t xml:space="preserve">, що включають 3 питання: </w:t>
            </w:r>
            <w:r w:rsidDel="00000000" w:rsidR="00000000" w:rsidRPr="00000000">
              <w:rPr>
                <w:rFonts w:ascii="Times New Roman" w:cs="Times New Roman" w:eastAsia="Times New Roman" w:hAnsi="Times New Roman"/>
                <w:i w:val="1"/>
                <w:iCs w:val="1"/>
                <w:sz w:val="20"/>
                <w:szCs w:val="20"/>
                <w:rtl w:val="0"/>
              </w:rPr>
              <w:t xml:space="preserve">1-е і 2-е питання</w:t>
            </w:r>
            <w:r w:rsidDel="00000000" w:rsidR="00000000" w:rsidRPr="00000000">
              <w:rPr>
                <w:rFonts w:ascii="Times New Roman" w:cs="Times New Roman" w:eastAsia="Times New Roman" w:hAnsi="Times New Roman"/>
                <w:sz w:val="20"/>
                <w:szCs w:val="20"/>
                <w:rtl w:val="0"/>
              </w:rPr>
              <w:t xml:space="preserve"> – теоретичні з дисципліни «Основи технічного аналізу», </w:t>
            </w:r>
            <w:r w:rsidDel="00000000" w:rsidR="00000000" w:rsidRPr="00000000">
              <w:rPr>
                <w:rFonts w:ascii="Times New Roman" w:cs="Times New Roman" w:eastAsia="Times New Roman" w:hAnsi="Times New Roman"/>
                <w:i w:val="1"/>
                <w:iCs w:val="1"/>
                <w:sz w:val="20"/>
                <w:szCs w:val="20"/>
                <w:rtl w:val="0"/>
              </w:rPr>
              <w:t xml:space="preserve">3-е питання</w:t>
            </w:r>
            <w:r w:rsidDel="00000000" w:rsidR="00000000" w:rsidRPr="00000000">
              <w:rPr>
                <w:rFonts w:ascii="Times New Roman" w:cs="Times New Roman" w:eastAsia="Times New Roman" w:hAnsi="Times New Roman"/>
                <w:sz w:val="20"/>
                <w:szCs w:val="20"/>
                <w:rtl w:val="0"/>
              </w:rPr>
              <w:t xml:space="preserve"> – перевірка практичних умінь застосування знань.</w:t>
            </w:r>
          </w:p>
        </w:tc>
        <w:tc>
          <w:tcPr/>
          <w:p w:rsidR="00000000" w:rsidDel="00000000" w:rsidP="00000000" w:rsidRDefault="00000000" w:rsidRPr="00000000" w14:paraId="0000024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19-20</w:t>
            </w:r>
            <w:r w:rsidDel="00000000" w:rsidR="00000000" w:rsidRPr="00000000">
              <w:rPr>
                <w:rFonts w:ascii="Times New Roman" w:cs="Times New Roman" w:eastAsia="Times New Roman" w:hAnsi="Times New Roman"/>
                <w:sz w:val="20"/>
                <w:szCs w:val="20"/>
                <w:rtl w:val="0"/>
              </w:rPr>
              <w:t xml:space="preserve"> – балів здобувачі освіти дали розгорнуті відповіді на запитання екзаменаціного білету білету; виявили усебічні, систематичні та глибокі знання програмного матеріалу з дисципліни.</w:t>
            </w:r>
          </w:p>
          <w:p w:rsidR="00000000" w:rsidDel="00000000" w:rsidP="00000000" w:rsidRDefault="00000000" w:rsidRPr="00000000" w14:paraId="0000024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17-18 балів</w:t>
            </w:r>
            <w:r w:rsidDel="00000000" w:rsidR="00000000" w:rsidRPr="00000000">
              <w:rPr>
                <w:rFonts w:ascii="Times New Roman" w:cs="Times New Roman" w:eastAsia="Times New Roman" w:hAnsi="Times New Roman"/>
                <w:sz w:val="20"/>
                <w:szCs w:val="20"/>
                <w:rtl w:val="0"/>
              </w:rPr>
              <w:t xml:space="preserve"> – здобувачі  освіти відповіли на всі поставлені запитання, але є декілька несуттєвих помилок; виявили знання і розуміння програмного матеріалу з дисципліни у повному обсязі.</w:t>
            </w:r>
          </w:p>
          <w:p w:rsidR="00000000" w:rsidDel="00000000" w:rsidP="00000000" w:rsidRDefault="00000000" w:rsidRPr="00000000" w14:paraId="0000024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15-16 балів</w:t>
            </w:r>
            <w:r w:rsidDel="00000000" w:rsidR="00000000" w:rsidRPr="00000000">
              <w:rPr>
                <w:rFonts w:ascii="Times New Roman" w:cs="Times New Roman" w:eastAsia="Times New Roman" w:hAnsi="Times New Roman"/>
                <w:sz w:val="20"/>
                <w:szCs w:val="20"/>
                <w:rtl w:val="0"/>
              </w:rPr>
              <w:t xml:space="preserve"> –  здобувачі  освіти відповіли на всі поставлені запитання, але наявні  декілька несуттєвих помилок або неточностей; виявили знання і розуміння програмного матеріалу з дисципліни у повному обсязі.</w:t>
            </w:r>
          </w:p>
          <w:p w:rsidR="00000000" w:rsidDel="00000000" w:rsidP="00000000" w:rsidRDefault="00000000" w:rsidRPr="00000000" w14:paraId="0000024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13-14 балів </w:t>
            </w:r>
            <w:r w:rsidDel="00000000" w:rsidR="00000000" w:rsidRPr="00000000">
              <w:rPr>
                <w:rFonts w:ascii="Times New Roman" w:cs="Times New Roman" w:eastAsia="Times New Roman" w:hAnsi="Times New Roman"/>
                <w:sz w:val="20"/>
                <w:szCs w:val="20"/>
                <w:rtl w:val="0"/>
              </w:rPr>
              <w:t xml:space="preserve">– здобувачі освіти відповіли на всі поставленні запитання екзаменаційного білету, виявили знання основних положень навчального матеріалу,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24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10-12 балів </w:t>
            </w:r>
            <w:r w:rsidDel="00000000" w:rsidR="00000000" w:rsidRPr="00000000">
              <w:rPr>
                <w:rFonts w:ascii="Times New Roman" w:cs="Times New Roman" w:eastAsia="Times New Roman" w:hAnsi="Times New Roman"/>
                <w:sz w:val="20"/>
                <w:szCs w:val="20"/>
                <w:rtl w:val="0"/>
              </w:rPr>
              <w:t xml:space="preserve">– здобувачі освіти відповіли на запитання екзаменаційного білету в не повному обсязі; відповідали неповно, непослідовно, припускаючись невідповідностей у визначенні понять, не вміє переконливо обгрунтовувати свою думку.</w:t>
            </w:r>
          </w:p>
          <w:p w:rsidR="00000000" w:rsidDel="00000000" w:rsidP="00000000" w:rsidRDefault="00000000" w:rsidRPr="00000000" w14:paraId="00000247">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0-9 балів – </w:t>
            </w:r>
            <w:r w:rsidDel="00000000" w:rsidR="00000000" w:rsidRPr="00000000">
              <w:rPr>
                <w:rFonts w:ascii="Times New Roman" w:cs="Times New Roman" w:eastAsia="Times New Roman" w:hAnsi="Times New Roman"/>
                <w:sz w:val="20"/>
                <w:szCs w:val="20"/>
                <w:rtl w:val="0"/>
              </w:rPr>
              <w:t xml:space="preserve">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w:t>
            </w:r>
            <w:r w:rsidDel="00000000" w:rsidR="00000000" w:rsidRPr="00000000">
              <w:rPr>
                <w:rtl w:val="0"/>
              </w:rPr>
            </w:r>
          </w:p>
          <w:p w:rsidR="00000000" w:rsidDel="00000000" w:rsidP="00000000" w:rsidRDefault="00000000" w:rsidRPr="00000000" w14:paraId="0000024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9">
            <w:pPr>
              <w:spacing w:line="240" w:lineRule="auto"/>
              <w:jc w:val="both"/>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24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Усього</w:t>
            </w:r>
            <w:r w:rsidDel="00000000" w:rsidR="00000000" w:rsidRPr="00000000">
              <w:rPr>
                <w:rtl w:val="0"/>
              </w:rPr>
            </w:r>
          </w:p>
          <w:p w:rsidR="00000000" w:rsidDel="00000000" w:rsidP="00000000" w:rsidRDefault="00000000" w:rsidRPr="00000000" w14:paraId="0000024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підсумковий контроль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40</w:t>
            </w:r>
            <w:r w:rsidDel="00000000" w:rsidR="00000000" w:rsidRPr="00000000">
              <w:rPr>
                <w:rtl w:val="0"/>
              </w:rPr>
            </w:r>
          </w:p>
        </w:tc>
      </w:tr>
    </w:tbl>
    <w:p w:rsidR="00000000" w:rsidDel="00000000" w:rsidP="00000000" w:rsidRDefault="00000000" w:rsidRPr="00000000" w14:paraId="0000025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2">
      <w:pPr>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253">
      <w:pPr>
        <w:spacing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Шкала оцінювання ЗНУ: національна та ECTS</w:t>
      </w:r>
      <w:r w:rsidDel="00000000" w:rsidR="00000000" w:rsidRPr="00000000">
        <w:rPr>
          <w:rtl w:val="0"/>
        </w:rPr>
      </w:r>
    </w:p>
    <w:tbl>
      <w:tblPr>
        <w:tblStyle w:val="Table5"/>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1"/>
              <w:keepLines w:val="1"/>
              <w:numPr>
                <w:ilvl w:val="1"/>
                <w:numId w:val="1"/>
              </w:numPr>
              <w:spacing w:line="220" w:lineRule="auto"/>
              <w:ind w:left="0" w:firstLine="0"/>
              <w:jc w:val="center"/>
              <w:rPr>
                <w:rFonts w:ascii="Calibri" w:cs="Calibri" w:eastAsia="Calibri" w:hAnsi="Calibri"/>
                <w:sz w:val="26"/>
                <w:szCs w:val="26"/>
              </w:rPr>
            </w:pPr>
            <w:r w:rsidDel="00000000" w:rsidR="00000000" w:rsidRPr="00000000">
              <w:rPr>
                <w:rFonts w:ascii="Times New Roman" w:cs="Times New Roman" w:eastAsia="Times New Roman" w:hAnsi="Times New Roman"/>
                <w:smallCaps w:val="1"/>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а шкалою</w:t>
            </w:r>
            <w:r w:rsidDel="00000000" w:rsidR="00000000" w:rsidRPr="00000000">
              <w:rPr>
                <w:rtl w:val="0"/>
              </w:rPr>
            </w:r>
          </w:p>
          <w:p w:rsidR="00000000" w:rsidDel="00000000" w:rsidP="00000000" w:rsidRDefault="00000000" w:rsidRPr="00000000" w14:paraId="00000259">
            <w:pPr>
              <w:keepNext w:val="1"/>
              <w:keepLines w:val="1"/>
              <w:numPr>
                <w:ilvl w:val="5"/>
                <w:numId w:val="1"/>
              </w:numPr>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keepNext w:val="1"/>
              <w:keepLines w:val="1"/>
              <w:numPr>
                <w:ilvl w:val="4"/>
                <w:numId w:val="1"/>
              </w:numPr>
              <w:spacing w:line="220" w:lineRule="auto"/>
              <w:ind w:left="0" w:right="-108"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За шкалою університету</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keepNext w:val="1"/>
              <w:keepLines w:val="1"/>
              <w:numPr>
                <w:ilvl w:val="2"/>
                <w:numId w:val="1"/>
              </w:numPr>
              <w:tabs>
                <w:tab w:val="left" w:leader="none" w:pos="0"/>
              </w:tabs>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За національною шкалою</w:t>
            </w:r>
            <w:r w:rsidDel="00000000" w:rsidR="00000000" w:rsidRPr="00000000">
              <w:rPr>
                <w:rtl w:val="0"/>
              </w:rPr>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keepNext w:val="1"/>
              <w:keepLines w:val="1"/>
              <w:numPr>
                <w:ilvl w:val="2"/>
                <w:numId w:val="1"/>
              </w:numPr>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Екзамен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1"/>
              <w:keepLines w:val="1"/>
              <w:numPr>
                <w:ilvl w:val="2"/>
                <w:numId w:val="1"/>
              </w:numPr>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Залік</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keepNext w:val="1"/>
              <w:keepLines w:val="1"/>
              <w:numPr>
                <w:ilvl w:val="3"/>
                <w:numId w:val="1"/>
              </w:numPr>
              <w:spacing w:line="220" w:lineRule="auto"/>
              <w:ind w:left="0" w:firstLine="0"/>
              <w:jc w:val="center"/>
              <w:rPr>
                <w:rFonts w:ascii="Calibri" w:cs="Calibri" w:eastAsia="Calibri" w:hAnsi="Calibri"/>
                <w:i w:val="1"/>
                <w:iCs w:val="1"/>
                <w:sz w:val="24"/>
                <w:szCs w:val="24"/>
              </w:rPr>
            </w:pPr>
            <w:r w:rsidDel="00000000" w:rsidR="00000000" w:rsidRPr="00000000">
              <w:rPr>
                <w:rFonts w:ascii="Times New Roman" w:cs="Times New Roman" w:eastAsia="Times New Roman" w:hAnsi="Times New Roman"/>
                <w:sz w:val="24"/>
                <w:szCs w:val="24"/>
                <w:rtl w:val="0"/>
              </w:rPr>
              <w:t xml:space="preserve">5 (відмінно)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keepNext w:val="1"/>
              <w:keepLines w:val="1"/>
              <w:numPr>
                <w:ilvl w:val="3"/>
                <w:numId w:val="1"/>
              </w:numPr>
              <w:spacing w:line="220" w:lineRule="auto"/>
              <w:ind w:left="0" w:firstLine="0"/>
              <w:jc w:val="center"/>
              <w:rPr>
                <w:rFonts w:ascii="Calibri" w:cs="Calibri" w:eastAsia="Calibri" w:hAnsi="Calibri"/>
                <w:i w:val="1"/>
                <w:iCs w:val="1"/>
                <w:sz w:val="24"/>
                <w:szCs w:val="24"/>
              </w:rPr>
            </w:pPr>
            <w:r w:rsidDel="00000000" w:rsidR="00000000" w:rsidRPr="00000000">
              <w:rPr>
                <w:rFonts w:ascii="Times New Roman" w:cs="Times New Roman" w:eastAsia="Times New Roman" w:hAnsi="Times New Roman"/>
                <w:sz w:val="24"/>
                <w:szCs w:val="24"/>
                <w:rtl w:val="0"/>
              </w:rPr>
              <w:t xml:space="preserve">Зараховано</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spacing w:line="220" w:lineRule="auto"/>
              <w:ind w:right="-5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line="220" w:lineRule="auto"/>
              <w:ind w:right="-5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spacing w:line="220" w:lineRule="auto"/>
              <w:ind w:right="-5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line="22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D">
      <w:pPr>
        <w:shd w:fill="ffffff" w:val="clea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E">
      <w:pP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 </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Основні навчальні ресурси </w:t>
      </w:r>
      <w:r w:rsidDel="00000000" w:rsidR="00000000" w:rsidRPr="00000000">
        <w:rPr>
          <w:rtl w:val="0"/>
        </w:rPr>
      </w:r>
    </w:p>
    <w:p w:rsidR="00000000" w:rsidDel="00000000" w:rsidP="00000000" w:rsidRDefault="00000000" w:rsidRPr="00000000" w14:paraId="0000027F">
      <w:pPr>
        <w:shd w:fill="ffffff" w:val="clea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Рекомендована література</w:t>
      </w:r>
      <w:r w:rsidDel="00000000" w:rsidR="00000000" w:rsidRPr="00000000">
        <w:rPr>
          <w:rtl w:val="0"/>
        </w:rPr>
      </w:r>
    </w:p>
    <w:p w:rsidR="00000000" w:rsidDel="00000000" w:rsidP="00000000" w:rsidRDefault="00000000" w:rsidRPr="00000000" w14:paraId="00000281">
      <w:pPr>
        <w:shd w:fill="ffffff" w:val="clea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w:t>
      </w:r>
    </w:p>
    <w:p w:rsidR="00000000" w:rsidDel="00000000" w:rsidP="00000000" w:rsidRDefault="00000000" w:rsidRPr="00000000" w14:paraId="00000282">
      <w:pPr>
        <w:numPr>
          <w:ilvl w:val="0"/>
          <w:numId w:val="4"/>
        </w:numPr>
        <w:spacing w:line="24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Луганська О. В. Основи технічного аналізу : конспект лекцій для здобувачів ступеня вищої освіти бакалавра спеціальності «Хімія». Запоріжжя : ЗНУ, 2021. 71 с.</w:t>
      </w:r>
    </w:p>
    <w:p w:rsidR="00000000" w:rsidDel="00000000" w:rsidP="00000000" w:rsidRDefault="00000000" w:rsidRPr="00000000" w14:paraId="00000283">
      <w:pPr>
        <w:numPr>
          <w:ilvl w:val="0"/>
          <w:numId w:val="4"/>
        </w:numPr>
        <w:spacing w:line="24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Луганська О. В. Основи технічного аналізу : методичні вказівки до самостійної роботи для здобувачів ступеня вищої освіти бакалавра спеціальності Хімія. Запоріжжя : ЗНУ, 2021. 58 с.</w:t>
      </w:r>
    </w:p>
    <w:p w:rsidR="00000000" w:rsidDel="00000000" w:rsidP="00000000" w:rsidRDefault="00000000" w:rsidRPr="00000000" w14:paraId="00000284">
      <w:pPr>
        <w:numPr>
          <w:ilvl w:val="0"/>
          <w:numId w:val="4"/>
        </w:numPr>
        <w:spacing w:line="24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Більченко М.М. Задачі та вправи : навчальний посібник. Суми : Університетська книга, 2019. 205 с.</w:t>
      </w:r>
    </w:p>
    <w:p w:rsidR="00000000" w:rsidDel="00000000" w:rsidP="00000000" w:rsidRDefault="00000000" w:rsidRPr="00000000" w14:paraId="00000285">
      <w:pPr>
        <w:numPr>
          <w:ilvl w:val="0"/>
          <w:numId w:val="4"/>
        </w:numPr>
        <w:spacing w:line="24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Публікація в періодичному виданні: Tkach V. V., Kushnir M. V., Romaniv L. V., Pishak O. V., de Oliveira S. C., dos Reis L. V., Ivanushko Y. G., Banul B. Y., Honchar T. V., Luganska O. V. The Theoretical Description for Paracetamol and Naproxen Electrochemical Determination, Assisted by Conducting Polymer Composite with Cobalt (III) Oxyhydroxide. Letters in Applied NanoBioScience. 2024. Т. 13. № 1. C. 26. URL: </w:t>
      </w:r>
      <w:hyperlink r:id="rId9">
        <w:r w:rsidDel="00000000" w:rsidR="00000000" w:rsidRPr="00000000">
          <w:rPr>
            <w:rFonts w:ascii="Times New Roman" w:cs="Times New Roman" w:eastAsia="Times New Roman" w:hAnsi="Times New Roman"/>
            <w:color w:val="1155cc"/>
            <w:sz w:val="24"/>
            <w:szCs w:val="24"/>
            <w:u w:val="single"/>
            <w:rtl w:val="0"/>
          </w:rPr>
          <w:t xml:space="preserve">http://nanobioletters.com/wp-content/uploads/2023/08/LIANBS131.026.pdf</w:t>
        </w:r>
      </w:hyperlink>
      <w:r w:rsidDel="00000000" w:rsidR="00000000" w:rsidRPr="00000000">
        <w:rPr>
          <w:rFonts w:ascii="Times New Roman" w:cs="Times New Roman" w:eastAsia="Times New Roman" w:hAnsi="Times New Roman"/>
          <w:sz w:val="24"/>
          <w:szCs w:val="24"/>
          <w:rtl w:val="0"/>
        </w:rPr>
        <w:t xml:space="preserve">.  Категорія SCOPUS </w:t>
      </w:r>
    </w:p>
    <w:p w:rsidR="00000000" w:rsidDel="00000000" w:rsidP="00000000" w:rsidRDefault="00000000" w:rsidRPr="00000000" w14:paraId="00000286">
      <w:pPr>
        <w:numPr>
          <w:ilvl w:val="0"/>
          <w:numId w:val="4"/>
        </w:numPr>
        <w:spacing w:line="24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Публікація в періодичному виданні: Tkach V. V., Kushnir M. V., Storoshchuk N. M., Luganska O. V., Kopiika V. V., Novosad N. V., Lukanova S. M., Ivanushko Y. G., Ostapchuk V. G., Melnychuk S. P. A descrição teórica da detecção eletroanalítica de resveratrol em vinhos e sucos, assistida pelo oxihidróxido de cobalto. Revista Colombiana de Ciencias Químico-Farmaceuticas. 2024. Т. 53. № 2. C. 336-353. URL: </w:t>
      </w:r>
      <w:hyperlink r:id="rId10">
        <w:r w:rsidDel="00000000" w:rsidR="00000000" w:rsidRPr="00000000">
          <w:rPr>
            <w:rFonts w:ascii="Times New Roman" w:cs="Times New Roman" w:eastAsia="Times New Roman" w:hAnsi="Times New Roman"/>
            <w:color w:val="1155cc"/>
            <w:sz w:val="24"/>
            <w:szCs w:val="24"/>
            <w:u w:val="single"/>
            <w:rtl w:val="0"/>
          </w:rPr>
          <w:t xml:space="preserve">https://revistas.unal.edu.co/index.php/rccquifa/article/view/114424/92126</w:t>
        </w:r>
      </w:hyperlink>
      <w:r w:rsidDel="00000000" w:rsidR="00000000" w:rsidRPr="00000000">
        <w:rPr>
          <w:rFonts w:ascii="Times New Roman" w:cs="Times New Roman" w:eastAsia="Times New Roman" w:hAnsi="Times New Roman"/>
          <w:sz w:val="24"/>
          <w:szCs w:val="24"/>
          <w:rtl w:val="0"/>
        </w:rPr>
        <w:t xml:space="preserve">.  Категорія WOS, SCOPUS</w:t>
      </w:r>
    </w:p>
    <w:p w:rsidR="00000000" w:rsidDel="00000000" w:rsidP="00000000" w:rsidRDefault="00000000" w:rsidRPr="00000000" w14:paraId="00000287">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hd w:fill="ffffff" w:val="clea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9">
      <w:pPr>
        <w:shd w:fill="ffffff" w:val="clea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A">
      <w:pPr>
        <w:shd w:fill="ffffff" w:val="clea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Додаткова:</w:t>
      </w:r>
    </w:p>
    <w:p w:rsidR="00000000" w:rsidDel="00000000" w:rsidP="00000000" w:rsidRDefault="00000000" w:rsidRPr="00000000" w14:paraId="0000028B">
      <w:pPr>
        <w:numPr>
          <w:ilvl w:val="0"/>
          <w:numId w:val="2"/>
        </w:numPr>
        <w:spacing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Сирова Г. О., Петюніна В. М., Лук’янова Л. В., Тішакова Т. С., Савельєва О. В. Аналітична хімія (якісний аналіз) : навчальний посібник.  Харків, 2019.  131 с. </w:t>
      </w:r>
    </w:p>
    <w:p w:rsidR="00000000" w:rsidDel="00000000" w:rsidP="00000000" w:rsidRDefault="00000000" w:rsidRPr="00000000" w14:paraId="0000028C">
      <w:pPr>
        <w:numPr>
          <w:ilvl w:val="0"/>
          <w:numId w:val="2"/>
        </w:numPr>
        <w:spacing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Чеботарьов О.М, Топоров С.В., Гузенко О.М. Аналітична хімія. Кількісний аналіз : практикум для студентів факультету хімії та фармації.  Одеса : Одеський національний університет ім. І. І. Мечникова, 2019. 80 с. </w:t>
      </w:r>
    </w:p>
    <w:p w:rsidR="00000000" w:rsidDel="00000000" w:rsidP="00000000" w:rsidRDefault="00000000" w:rsidRPr="00000000" w14:paraId="0000028D">
      <w:pPr>
        <w:numPr>
          <w:ilvl w:val="0"/>
          <w:numId w:val="2"/>
        </w:numPr>
        <w:tabs>
          <w:tab w:val="left" w:leader="none" w:pos="567"/>
        </w:tabs>
        <w:spacing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Богомолов М. Ф., Шликов В. В., Максименко В. Б. Методи та засоби діагностики. Сучасні оптоелектронні діагностичні прилади : навчальний посібник.  Київ :  КПІ ім. Ігоря Сікорського, 2021. 125 с.</w:t>
      </w:r>
    </w:p>
    <w:p w:rsidR="00000000" w:rsidDel="00000000" w:rsidP="00000000" w:rsidRDefault="00000000" w:rsidRPr="00000000" w14:paraId="0000028E">
      <w:pPr>
        <w:numPr>
          <w:ilvl w:val="0"/>
          <w:numId w:val="2"/>
        </w:numPr>
        <w:tabs>
          <w:tab w:val="left" w:leader="none" w:pos="567"/>
        </w:tabs>
        <w:spacing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Гринь Г. І., Мохонько В. І., Суворін О. В. Методи вимірювання параметрів навколишнього середовища : підручник. Сєвєродонецьк : СНУ ім. В. Даля, 2019.  420 с.</w:t>
      </w:r>
    </w:p>
    <w:p w:rsidR="00000000" w:rsidDel="00000000" w:rsidP="00000000" w:rsidRDefault="00000000" w:rsidRPr="00000000" w14:paraId="0000028F">
      <w:pPr>
        <w:numPr>
          <w:ilvl w:val="0"/>
          <w:numId w:val="2"/>
        </w:numPr>
        <w:pBdr>
          <w:top w:color="000000" w:space="0" w:sz="0" w:val="none"/>
          <w:bottom w:color="000000" w:space="0" w:sz="0" w:val="none"/>
          <w:right w:color="000000" w:space="0" w:sz="0" w:val="none"/>
          <w:between w:color="000000" w:space="0" w:sz="0" w:val="none"/>
        </w:pBdr>
        <w:shd w:fill="ffffff" w:val="clear"/>
        <w:spacing w:line="240" w:lineRule="auto"/>
        <w:ind w:left="0" w:firstLine="709"/>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Кельїна С. Ю., Невинський О. Г., Лічко О. І., Ремешевська І. В. Загальна хімія. Хімія та екологія води : навчальний посібник.  Миколаїв : НУК, 2019. 215 с.</w:t>
      </w:r>
    </w:p>
    <w:p w:rsidR="00000000" w:rsidDel="00000000" w:rsidP="00000000" w:rsidRDefault="00000000" w:rsidRPr="00000000" w14:paraId="00000290">
      <w:pPr>
        <w:numPr>
          <w:ilvl w:val="0"/>
          <w:numId w:val="2"/>
        </w:numPr>
        <w:spacing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Спаська О. А. Аналітична хімія : лабораторний практикум.  Київ : Вид-во Нац. авіац. ун-ту «НАУ-друк» 2021.  66 с. </w:t>
      </w:r>
    </w:p>
    <w:p w:rsidR="00000000" w:rsidDel="00000000" w:rsidP="00000000" w:rsidRDefault="00000000" w:rsidRPr="00000000" w14:paraId="00000291">
      <w:pPr>
        <w:numPr>
          <w:ilvl w:val="0"/>
          <w:numId w:val="2"/>
        </w:numPr>
        <w:spacing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Публікація в періодичному виданні: Tkach V. V., Kushnir M. V., Storoshchuk N. M., Luganska O. V., Kopiika V. V., Novosad N. V., Lukanova S. M., Ivanushko Y. G., Ostapchuk V. G., Melnychuk S. P. A descrição teórica da detecção eletroanalítica do ledol em méis, assistida pelo compósito do polímero condutor com o oxihidróxido de cobalto. Revista Colombiana de Ciencias Químico-Farmaceuticas. 2024. Т. 53. № 1. C. 101-113. URL: </w:t>
      </w:r>
      <w:hyperlink r:id="rId11">
        <w:r w:rsidDel="00000000" w:rsidR="00000000" w:rsidRPr="00000000">
          <w:rPr>
            <w:rFonts w:ascii="Times New Roman" w:cs="Times New Roman" w:eastAsia="Times New Roman" w:hAnsi="Times New Roman"/>
            <w:color w:val="1155cc"/>
            <w:sz w:val="24"/>
            <w:szCs w:val="24"/>
            <w:u w:val="single"/>
            <w:rtl w:val="0"/>
          </w:rPr>
          <w:t xml:space="preserve">https://revistas.unal.edu.co/index.php/rccquifa/article/view/112979/91436</w:t>
        </w:r>
      </w:hyperlink>
      <w:r w:rsidDel="00000000" w:rsidR="00000000" w:rsidRPr="00000000">
        <w:rPr>
          <w:rFonts w:ascii="Times New Roman" w:cs="Times New Roman" w:eastAsia="Times New Roman" w:hAnsi="Times New Roman"/>
          <w:sz w:val="24"/>
          <w:szCs w:val="24"/>
          <w:rtl w:val="0"/>
        </w:rPr>
        <w:t xml:space="preserve">. Категорія WOS, SCOPUS</w:t>
      </w:r>
    </w:p>
    <w:p w:rsidR="00000000" w:rsidDel="00000000" w:rsidP="00000000" w:rsidRDefault="00000000" w:rsidRPr="00000000" w14:paraId="00000292">
      <w:pPr>
        <w:shd w:fill="ffffff" w:val="clea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93">
      <w:pPr>
        <w:tabs>
          <w:tab w:val="left" w:leader="none" w:pos="0"/>
          <w:tab w:val="left" w:leader="none" w:pos="6135"/>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Інформаційні ресурси</w:t>
      </w:r>
      <w:r w:rsidDel="00000000" w:rsidR="00000000" w:rsidRPr="00000000">
        <w:rPr>
          <w:rtl w:val="0"/>
        </w:rPr>
      </w:r>
    </w:p>
    <w:p w:rsidR="00000000" w:rsidDel="00000000" w:rsidP="00000000" w:rsidRDefault="00000000" w:rsidRPr="00000000" w14:paraId="00000294">
      <w:pPr>
        <w:numPr>
          <w:ilvl w:val="0"/>
          <w:numId w:val="3"/>
        </w:numPr>
        <w:spacing w:line="24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технічного аналіза : електронний курс СЕЗН ЗНУ URL: </w:t>
      </w:r>
      <w:hyperlink r:id="rId12">
        <w:r w:rsidDel="00000000" w:rsidR="00000000" w:rsidRPr="00000000">
          <w:rPr>
            <w:rFonts w:ascii="Times New Roman" w:cs="Times New Roman" w:eastAsia="Times New Roman" w:hAnsi="Times New Roman"/>
            <w:color w:val="1155cc"/>
            <w:sz w:val="24"/>
            <w:szCs w:val="24"/>
            <w:u w:val="single"/>
            <w:rtl w:val="0"/>
          </w:rPr>
          <w:t xml:space="preserve">https://moodle.znu.edu.ua/course/view.php?id=5679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7">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7. Регуляції і політики курсу</w:t>
      </w:r>
      <w:r w:rsidDel="00000000" w:rsidR="00000000" w:rsidRPr="00000000">
        <w:rPr>
          <w:rtl w:val="0"/>
        </w:rPr>
      </w:r>
    </w:p>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Відвідування занять. Регуляція пропусків.</w:t>
      </w:r>
      <w:r w:rsidDel="00000000" w:rsidR="00000000" w:rsidRPr="00000000">
        <w:rPr>
          <w:rtl w:val="0"/>
        </w:rPr>
      </w:r>
    </w:p>
    <w:p w:rsidR="00000000" w:rsidDel="00000000" w:rsidP="00000000" w:rsidRDefault="00000000" w:rsidRPr="00000000" w14:paraId="0000029C">
      <w:pPr>
        <w:widowControl w:val="0"/>
        <w:spacing w:line="240" w:lineRule="auto"/>
        <w:ind w:right="104"/>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Відвідування усіх занять є обов’язковим.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000000" w:rsidDel="00000000" w:rsidP="00000000" w:rsidRDefault="00000000" w:rsidRPr="00000000" w14:paraId="0000029D">
      <w:pPr>
        <w:widowControl w:val="0"/>
        <w:spacing w:before="2" w:line="237" w:lineRule="auto"/>
        <w:ind w:right="105"/>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4"/>
          <w:szCs w:val="24"/>
          <w:rtl w:val="0"/>
        </w:rPr>
        <w:t xml:space="preserve">Студенти, які станом на початок екзаменаційної сесії мають понад 70% невідпрацьованих пропущених занять, до відпрацювання не допускаються.</w:t>
      </w:r>
      <w:r w:rsidDel="00000000" w:rsidR="00000000" w:rsidRPr="00000000">
        <w:rPr>
          <w:rtl w:val="0"/>
        </w:rPr>
      </w:r>
    </w:p>
    <w:p w:rsidR="00000000" w:rsidDel="00000000" w:rsidP="00000000" w:rsidRDefault="00000000" w:rsidRPr="00000000" w14:paraId="000002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29F">
      <w:pPr>
        <w:widowControl w:val="0"/>
        <w:tabs>
          <w:tab w:val="left" w:leader="none" w:pos="1484"/>
          <w:tab w:val="left" w:leader="none" w:pos="2614"/>
          <w:tab w:val="left" w:leader="none" w:pos="3050"/>
          <w:tab w:val="left" w:leader="none" w:pos="4413"/>
          <w:tab w:val="left" w:leader="none" w:pos="6338"/>
          <w:tab w:val="left" w:leader="none" w:pos="7859"/>
          <w:tab w:val="left" w:leader="none" w:pos="9419"/>
        </w:tabs>
        <w:spacing w:line="240" w:lineRule="auto"/>
        <w:ind w:right="10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Усі письмові роботи, що виконуються слухачами під час проходження курсу, перевіряються на наявність</w:t>
        <w:tab/>
        <w:t xml:space="preserve">плагіату</w:t>
        <w:tab/>
        <w:t xml:space="preserve">за</w:t>
        <w:tab/>
        <w:t xml:space="preserve">допомогою</w:t>
        <w:tab/>
        <w:t xml:space="preserve">спеціалізованого</w:t>
        <w:tab/>
        <w:t xml:space="preserve">програмного</w:t>
        <w:tab/>
        <w:t xml:space="preserve">забезпечення</w:t>
        <w:tab/>
        <w:t xml:space="preserve">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запозичувати, має супроводжуватися посиланням на першоджерело. Приклади оформлення цитувань див. на Moodle: </w:t>
      </w:r>
      <w:hyperlink r:id="rId13">
        <w:r w:rsidDel="00000000" w:rsidR="00000000" w:rsidRPr="00000000">
          <w:rPr>
            <w:rFonts w:ascii="Times New Roman" w:cs="Times New Roman" w:eastAsia="Times New Roman" w:hAnsi="Times New Roman"/>
            <w:i w:val="1"/>
            <w:iCs w:val="1"/>
            <w:color w:val="0000ff"/>
            <w:sz w:val="24"/>
            <w:szCs w:val="24"/>
            <w:u w:val="single"/>
            <w:rtl w:val="0"/>
          </w:rPr>
          <w:t xml:space="preserve">https://moodle.znu.edu.ua/mod/resource/view.php?id=103857</w:t>
        </w:r>
      </w:hyperlink>
      <w:r w:rsidDel="00000000" w:rsidR="00000000" w:rsidRPr="00000000">
        <w:rPr>
          <w:rFonts w:ascii="Times New Roman" w:cs="Times New Roman" w:eastAsia="Times New Roman" w:hAnsi="Times New Roman"/>
          <w:i w:val="1"/>
          <w:iCs w:val="1"/>
          <w:sz w:val="24"/>
          <w:szCs w:val="24"/>
          <w:rtl w:val="0"/>
        </w:rPr>
        <w:t xml:space="preserve">. Виконавці індивідуальних дослідницьких завдань обов’язково додають до текстів своїх робіт власноруч підписано Декларацію академічної доброчесності (див. посилання у Додатку до силабусу).</w:t>
      </w:r>
    </w:p>
    <w:p w:rsidR="00000000" w:rsidDel="00000000" w:rsidP="00000000" w:rsidRDefault="00000000" w:rsidRPr="00000000" w14:paraId="000002A0">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000000" w:rsidDel="00000000" w:rsidP="00000000" w:rsidRDefault="00000000" w:rsidRPr="00000000" w14:paraId="000002A1">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A2">
      <w:pPr>
        <w:widowControl w:val="0"/>
        <w:spacing w:before="1"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Використання комп’ютерів/телефонів на занятті</w:t>
      </w:r>
    </w:p>
    <w:p w:rsidR="00000000" w:rsidDel="00000000" w:rsidP="00000000" w:rsidRDefault="00000000" w:rsidRPr="00000000" w14:paraId="000002A3">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Будь ласка, не забувайте активувати режим «без звуку» до початку заняття.</w:t>
      </w:r>
    </w:p>
    <w:p w:rsidR="00000000" w:rsidDel="00000000" w:rsidP="00000000" w:rsidRDefault="00000000" w:rsidRPr="00000000" w14:paraId="000002A4">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2A5">
      <w:pPr>
        <w:widowControl w:val="0"/>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A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Комунікація</w:t>
      </w:r>
    </w:p>
    <w:p w:rsidR="00000000" w:rsidDel="00000000" w:rsidP="00000000" w:rsidRDefault="00000000" w:rsidRPr="00000000" w14:paraId="000002A7">
      <w:pPr>
        <w:widowControl w:val="0"/>
        <w:spacing w:line="274"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Базовою платформою для комунікації викладача зі студентами є Moodle.</w:t>
      </w:r>
    </w:p>
    <w:p w:rsidR="00000000" w:rsidDel="00000000" w:rsidP="00000000" w:rsidRDefault="00000000" w:rsidRPr="00000000" w14:paraId="000002A8">
      <w:pPr>
        <w:widowControl w:val="0"/>
        <w:spacing w:line="240" w:lineRule="auto"/>
        <w:ind w:right="10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000000" w:rsidDel="00000000" w:rsidP="00000000" w:rsidRDefault="00000000" w:rsidRPr="00000000" w14:paraId="000002A9">
      <w:pPr>
        <w:widowControl w:val="0"/>
        <w:spacing w:line="240" w:lineRule="auto"/>
        <w:ind w:right="99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4">
        <w:r w:rsidDel="00000000" w:rsidR="00000000" w:rsidRPr="00000000">
          <w:rPr>
            <w:rFonts w:ascii="Times New Roman" w:cs="Times New Roman" w:eastAsia="Times New Roman" w:hAnsi="Times New Roman"/>
            <w:i w:val="1"/>
            <w:iCs w:val="1"/>
            <w:color w:val="0000ff"/>
            <w:sz w:val="24"/>
            <w:szCs w:val="24"/>
            <w:u w:val="single"/>
            <w:rtl w:val="0"/>
          </w:rPr>
          <w:t xml:space="preserve">130805olga@gmail.com</w:t>
        </w:r>
      </w:hyperlink>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 У листі обов’язково вкажіть ваше прізвище та ім’я, курс та шифр академічної групи.</w:t>
      </w:r>
    </w:p>
    <w:p w:rsidR="00000000" w:rsidDel="00000000" w:rsidP="00000000" w:rsidRDefault="00000000" w:rsidRPr="00000000" w14:paraId="000002AA">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Визнання результатів неформальної/інформальної освіти. </w:t>
      </w:r>
      <w:r w:rsidDel="00000000" w:rsidR="00000000" w:rsidRPr="00000000">
        <w:rPr>
          <w:rFonts w:ascii="Times New Roman" w:cs="Times New Roman" w:eastAsia="Times New Roman" w:hAnsi="Times New Roman"/>
          <w:sz w:val="24"/>
          <w:szCs w:val="24"/>
          <w:rtl w:val="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5">
        <w:r w:rsidDel="00000000" w:rsidR="00000000" w:rsidRPr="00000000">
          <w:rPr>
            <w:rFonts w:ascii="Times New Roman" w:cs="Times New Roman" w:eastAsia="Times New Roman" w:hAnsi="Times New Roman"/>
            <w:color w:val="0000ff"/>
            <w:sz w:val="24"/>
            <w:szCs w:val="24"/>
            <w:u w:val="single"/>
            <w:rtl w:val="0"/>
          </w:rPr>
          <w:t xml:space="preserve">https://tinyurl.com/y8gbt4xs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spacing w:line="240" w:lineRule="auto"/>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ДОДАТКОВА ІНФОРМАЦІЯ</w:t>
      </w:r>
    </w:p>
    <w:p w:rsidR="00000000" w:rsidDel="00000000" w:rsidP="00000000" w:rsidRDefault="00000000" w:rsidRPr="00000000" w14:paraId="000002A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ГРАФІК ОСВІТНЬОГО ПРОЦЕСУ НА 2025-2026 н.р. </w:t>
      </w:r>
      <w:r w:rsidDel="00000000" w:rsidR="00000000" w:rsidRPr="00000000">
        <w:rPr>
          <w:rFonts w:ascii="Times New Roman" w:cs="Times New Roman" w:eastAsia="Times New Roman" w:hAnsi="Times New Roman"/>
          <w:sz w:val="24"/>
          <w:szCs w:val="24"/>
          <w:rtl w:val="0"/>
        </w:rPr>
        <w:t xml:space="preserve">доступний за адресою:</w:t>
      </w:r>
      <w:r w:rsidDel="00000000" w:rsidR="00000000" w:rsidRPr="00000000">
        <w:rPr>
          <w:rFonts w:ascii="Liberation Serif" w:cs="Liberation Serif" w:eastAsia="Liberation Serif" w:hAnsi="Liberation Serif"/>
          <w:sz w:val="24"/>
          <w:szCs w:val="24"/>
          <w:rtl w:val="0"/>
        </w:rPr>
        <w:t xml:space="preserve"> </w:t>
      </w:r>
      <w:hyperlink r:id="rId16">
        <w:r w:rsidDel="00000000" w:rsidR="00000000" w:rsidRPr="00000000">
          <w:rPr>
            <w:rFonts w:ascii="Times New Roman" w:cs="Times New Roman" w:eastAsia="Times New Roman" w:hAnsi="Times New Roman"/>
            <w:color w:val="0000ff"/>
            <w:sz w:val="24"/>
            <w:szCs w:val="24"/>
            <w:u w:val="single"/>
            <w:rtl w:val="0"/>
          </w:rPr>
          <w:t xml:space="preserve">https://sites.znu.edu.ua/navchalnyj_viddil/1635.ukr.html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B0">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B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НАВЧАННЯ ТА ЗАБЕЗПЕЧЕННЯ ЯКОСТІ ОСВІТИ. </w:t>
      </w:r>
      <w:r w:rsidDel="00000000" w:rsidR="00000000" w:rsidRPr="00000000">
        <w:rPr>
          <w:rFonts w:ascii="Times New Roman" w:cs="Times New Roman" w:eastAsia="Times New Roman" w:hAnsi="Times New Roman"/>
          <w:sz w:val="24"/>
          <w:szCs w:val="24"/>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7">
        <w:r w:rsidDel="00000000" w:rsidR="00000000" w:rsidRPr="00000000">
          <w:rPr>
            <w:rFonts w:ascii="Times New Roman" w:cs="Times New Roman" w:eastAsia="Times New Roman" w:hAnsi="Times New Roman"/>
            <w:color w:val="0000ff"/>
            <w:sz w:val="24"/>
            <w:szCs w:val="24"/>
            <w:u w:val="single"/>
            <w:rtl w:val="0"/>
          </w:rPr>
          <w:t xml:space="preserve">https://lnk.ua/gk4x2wkVy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2B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ПОВТОРНЕ ВИВЧЕННЯ ДИСЦИПЛІН. </w:t>
      </w:r>
      <w:r w:rsidDel="00000000" w:rsidR="00000000" w:rsidRPr="00000000">
        <w:rPr>
          <w:rFonts w:ascii="Times New Roman" w:cs="Times New Roman" w:eastAsia="Times New Roman" w:hAnsi="Times New Roman"/>
          <w:sz w:val="24"/>
          <w:szCs w:val="24"/>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8">
        <w:r w:rsidDel="00000000" w:rsidR="00000000" w:rsidRPr="00000000">
          <w:rPr>
            <w:rFonts w:ascii="Times New Roman" w:cs="Times New Roman" w:eastAsia="Times New Roman" w:hAnsi="Times New Roman"/>
            <w:sz w:val="24"/>
            <w:szCs w:val="24"/>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0000ff"/>
            <w:sz w:val="24"/>
            <w:szCs w:val="24"/>
            <w:u w:val="single"/>
            <w:rtl w:val="0"/>
          </w:rPr>
          <w:t xml:space="preserve">https://lnk.ua/9MVwgEpVz</w:t>
        </w:r>
      </w:hyperlink>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2B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ВИРІШЕННЯ КОНФЛІКТІВ. </w:t>
      </w:r>
      <w:r w:rsidDel="00000000" w:rsidR="00000000" w:rsidRPr="00000000">
        <w:rPr>
          <w:rFonts w:ascii="Times New Roman" w:cs="Times New Roman" w:eastAsia="Times New Roman" w:hAnsi="Times New Roman"/>
          <w:sz w:val="24"/>
          <w:szCs w:val="24"/>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r w:rsidDel="00000000" w:rsidR="00000000" w:rsidRPr="00000000">
          <w:rPr>
            <w:rFonts w:ascii="Times New Roman" w:cs="Times New Roman" w:eastAsia="Times New Roman" w:hAnsi="Times New Roman"/>
            <w:color w:val="0000ff"/>
            <w:sz w:val="24"/>
            <w:szCs w:val="24"/>
            <w:u w:val="single"/>
            <w:rtl w:val="0"/>
          </w:rPr>
          <w:t xml:space="preserve">https://lnk.ua/EYNg6GpVZ</w:t>
        </w:r>
      </w:hyperlink>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2B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r w:rsidDel="00000000" w:rsidR="00000000" w:rsidRPr="00000000">
          <w:rPr>
            <w:rFonts w:ascii="Times New Roman" w:cs="Times New Roman" w:eastAsia="Times New Roman" w:hAnsi="Times New Roman"/>
            <w:color w:val="0000ff"/>
            <w:sz w:val="24"/>
            <w:szCs w:val="24"/>
            <w:u w:val="single"/>
            <w:rtl w:val="0"/>
          </w:rPr>
          <w:t xml:space="preserve">https://lnk.ua/QRVdWGwe3</w:t>
        </w:r>
      </w:hyperlink>
      <w:r w:rsidDel="00000000" w:rsidR="00000000" w:rsidRPr="00000000">
        <w:rPr>
          <w:rFonts w:ascii="Times New Roman" w:cs="Times New Roman" w:eastAsia="Times New Roman" w:hAnsi="Times New Roman"/>
          <w:sz w:val="24"/>
          <w:szCs w:val="24"/>
          <w:rtl w:val="0"/>
        </w:rPr>
        <w:t xml:space="preserve">; Положення про призначення та виплату соціальних стипендій у ЗНУ: </w:t>
      </w:r>
      <w:hyperlink r:id="rId22">
        <w:r w:rsidDel="00000000" w:rsidR="00000000" w:rsidRPr="00000000">
          <w:rPr>
            <w:rFonts w:ascii="Times New Roman" w:cs="Times New Roman" w:eastAsia="Times New Roman" w:hAnsi="Times New Roman"/>
            <w:color w:val="0000ff"/>
            <w:sz w:val="24"/>
            <w:szCs w:val="24"/>
            <w:u w:val="single"/>
            <w:rtl w:val="0"/>
          </w:rPr>
          <w:t xml:space="preserve">https://lnk.ua/3R4avGqeJ</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7">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B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ПСИХОЛОГІЧНА ДОПОМОГА. </w:t>
      </w:r>
      <w:r w:rsidDel="00000000" w:rsidR="00000000" w:rsidRPr="00000000">
        <w:rPr>
          <w:rFonts w:ascii="Times New Roman" w:cs="Times New Roman" w:eastAsia="Times New Roman" w:hAnsi="Times New Roman"/>
          <w:sz w:val="24"/>
          <w:szCs w:val="24"/>
          <w:rtl w:val="0"/>
        </w:rPr>
        <w:t xml:space="preserve">Телефон довіри практичного психолога </w:t>
      </w:r>
      <w:r w:rsidDel="00000000" w:rsidR="00000000" w:rsidRPr="00000000">
        <w:rPr>
          <w:rFonts w:ascii="Times New Roman" w:cs="Times New Roman" w:eastAsia="Times New Roman" w:hAnsi="Times New Roman"/>
          <w:b w:val="1"/>
          <w:bCs w:val="1"/>
          <w:sz w:val="24"/>
          <w:szCs w:val="24"/>
          <w:rtl w:val="0"/>
        </w:rPr>
        <w:t xml:space="preserve">Марті Ірини Вадимівни</w:t>
      </w:r>
      <w:r w:rsidDel="00000000" w:rsidR="00000000" w:rsidRPr="00000000">
        <w:rPr>
          <w:rFonts w:ascii="Times New Roman" w:cs="Times New Roman" w:eastAsia="Times New Roman" w:hAnsi="Times New Roman"/>
          <w:sz w:val="24"/>
          <w:szCs w:val="24"/>
          <w:rtl w:val="0"/>
        </w:rPr>
        <w:t xml:space="preserve"> (061) 228-15-84, (099) 253-78-73 (щоденно з 9 до 21). </w:t>
      </w:r>
    </w:p>
    <w:p w:rsidR="00000000" w:rsidDel="00000000" w:rsidP="00000000" w:rsidRDefault="00000000" w:rsidRPr="00000000" w14:paraId="000002B9">
      <w:pPr>
        <w:widowControl w:val="0"/>
        <w:spacing w:line="240" w:lineRule="auto"/>
        <w:jc w:val="both"/>
        <w:rPr>
          <w:rFonts w:ascii="Times New Roman" w:cs="Times New Roman" w:eastAsia="Times New Roman" w:hAnsi="Times New Roman"/>
          <w:b w:val="1"/>
          <w:bCs w:val="1"/>
          <w:sz w:val="24"/>
          <w:szCs w:val="24"/>
        </w:rPr>
      </w:pPr>
      <w:bookmarkStart w:colFirst="0" w:colLast="0" w:name="_heading=h.fbs327ql0jwt" w:id="6"/>
      <w:bookmarkEnd w:id="6"/>
      <w:r w:rsidDel="00000000" w:rsidR="00000000" w:rsidRPr="00000000">
        <w:rPr>
          <w:rtl w:val="0"/>
        </w:rPr>
      </w:r>
    </w:p>
    <w:p w:rsidR="00000000" w:rsidDel="00000000" w:rsidP="00000000" w:rsidRDefault="00000000" w:rsidRPr="00000000" w14:paraId="000002BA">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УПОВНОВАЖЕНА ОСОБА З ПИТАНЬ ЗАПОБІГАННЯ ТА ВИЯВЛЕННЯ КОРУПЦІЇ</w:t>
      </w:r>
      <w:r w:rsidDel="00000000" w:rsidR="00000000" w:rsidRPr="00000000">
        <w:rPr>
          <w:rFonts w:ascii="Times New Roman" w:cs="Times New Roman" w:eastAsia="Times New Roman" w:hAnsi="Times New Roman"/>
          <w:sz w:val="24"/>
          <w:szCs w:val="24"/>
          <w:rtl w:val="0"/>
        </w:rPr>
        <w:t xml:space="preserve"> Запорізького національного університету: </w:t>
      </w:r>
      <w:r w:rsidDel="00000000" w:rsidR="00000000" w:rsidRPr="00000000">
        <w:rPr>
          <w:rFonts w:ascii="Times New Roman" w:cs="Times New Roman" w:eastAsia="Times New Roman" w:hAnsi="Times New Roman"/>
          <w:b w:val="1"/>
          <w:bCs w:val="1"/>
          <w:sz w:val="24"/>
          <w:szCs w:val="24"/>
          <w:rtl w:val="0"/>
        </w:rPr>
        <w:t xml:space="preserve">Банах Віктор Аркадійович</w:t>
      </w:r>
    </w:p>
    <w:p w:rsidR="00000000" w:rsidDel="00000000" w:rsidP="00000000" w:rsidRDefault="00000000" w:rsidRPr="00000000" w14:paraId="000002B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адреса: </w:t>
      </w:r>
      <w:hyperlink r:id="rId23">
        <w:r w:rsidDel="00000000" w:rsidR="00000000" w:rsidRPr="00000000">
          <w:rPr>
            <w:rFonts w:ascii="Times New Roman" w:cs="Times New Roman" w:eastAsia="Times New Roman" w:hAnsi="Times New Roman"/>
            <w:sz w:val="24"/>
            <w:szCs w:val="24"/>
            <w:highlight w:val="white"/>
            <w:rtl w:val="0"/>
          </w:rPr>
          <w:t xml:space="preserve">v_banakh@znu.edu.ua</w:t>
        </w:r>
      </w:hyperlink>
      <w:r w:rsidDel="00000000" w:rsidR="00000000" w:rsidRPr="00000000">
        <w:rPr>
          <w:rtl w:val="0"/>
        </w:rPr>
      </w:r>
    </w:p>
    <w:p w:rsidR="00000000" w:rsidDel="00000000" w:rsidP="00000000" w:rsidRDefault="00000000" w:rsidRPr="00000000" w14:paraId="000002B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Гаряча лінія: тел.  (</w:t>
      </w:r>
      <w:r w:rsidDel="00000000" w:rsidR="00000000" w:rsidRPr="00000000">
        <w:rPr>
          <w:rFonts w:ascii="Times New Roman" w:cs="Times New Roman" w:eastAsia="Times New Roman" w:hAnsi="Times New Roman"/>
          <w:sz w:val="24"/>
          <w:szCs w:val="24"/>
          <w:highlight w:val="white"/>
          <w:rtl w:val="0"/>
        </w:rPr>
        <w:t xml:space="preserve">061) 227-12-76, факс 227-12-88</w:t>
      </w:r>
      <w:r w:rsidDel="00000000" w:rsidR="00000000" w:rsidRPr="00000000">
        <w:rPr>
          <w:rtl w:val="0"/>
        </w:rPr>
      </w:r>
    </w:p>
    <w:p w:rsidR="00000000" w:rsidDel="00000000" w:rsidP="00000000" w:rsidRDefault="00000000" w:rsidRPr="00000000" w14:paraId="000002B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РІВНІ МОЖЛИВОСТІ ТА ІНКЛЮЗИВНЕ ОСВІТНЄ СЕРЕДОВИЩЕ. </w:t>
      </w:r>
      <w:r w:rsidDel="00000000" w:rsidR="00000000" w:rsidRPr="00000000">
        <w:rPr>
          <w:rFonts w:ascii="Times New Roman" w:cs="Times New Roman" w:eastAsia="Times New Roman" w:hAnsi="Times New Roman"/>
          <w:sz w:val="24"/>
          <w:szCs w:val="24"/>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4">
        <w:r w:rsidDel="00000000" w:rsidR="00000000" w:rsidRPr="00000000">
          <w:rPr>
            <w:rFonts w:ascii="Times New Roman" w:cs="Times New Roman" w:eastAsia="Times New Roman" w:hAnsi="Times New Roman"/>
            <w:color w:val="0000ff"/>
            <w:sz w:val="24"/>
            <w:szCs w:val="24"/>
            <w:u w:val="single"/>
            <w:rtl w:val="0"/>
          </w:rPr>
          <w:t xml:space="preserve">https://lnk.ua/5pVJr17VP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РЕСУРСИ ДЛЯ НАВЧАННЯ</w:t>
      </w:r>
    </w:p>
    <w:p w:rsidR="00000000" w:rsidDel="00000000" w:rsidP="00000000" w:rsidRDefault="00000000" w:rsidRPr="00000000" w14:paraId="000002C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НАУКОВА БІБЛІОТЕКА</w:t>
      </w:r>
      <w:r w:rsidDel="00000000" w:rsidR="00000000" w:rsidRPr="00000000">
        <w:rPr>
          <w:rFonts w:ascii="Times New Roman" w:cs="Times New Roman" w:eastAsia="Times New Roman" w:hAnsi="Times New Roman"/>
          <w:sz w:val="24"/>
          <w:szCs w:val="24"/>
          <w:rtl w:val="0"/>
        </w:rPr>
        <w:t xml:space="preserve">: </w:t>
      </w:r>
      <w:hyperlink r:id="rId25">
        <w:r w:rsidDel="00000000" w:rsidR="00000000" w:rsidRPr="00000000">
          <w:rPr>
            <w:rFonts w:ascii="Times New Roman" w:cs="Times New Roman" w:eastAsia="Times New Roman" w:hAnsi="Times New Roman"/>
            <w:color w:val="0000ff"/>
            <w:sz w:val="24"/>
            <w:szCs w:val="24"/>
            <w:u w:val="single"/>
            <w:rtl w:val="0"/>
          </w:rPr>
          <w:t xml:space="preserve">https://library.znu.edu.ua/</w:t>
        </w:r>
      </w:hyperlink>
      <w:r w:rsidDel="00000000" w:rsidR="00000000" w:rsidRPr="00000000">
        <w:rPr>
          <w:rFonts w:ascii="Times New Roman" w:cs="Times New Roman" w:eastAsia="Times New Roman" w:hAnsi="Times New Roman"/>
          <w:sz w:val="24"/>
          <w:szCs w:val="24"/>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2C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СИСТЕМА ЕЛЕКТРОННОГО</w:t>
      </w:r>
      <w:r w:rsidDel="00000000" w:rsidR="00000000" w:rsidRPr="00000000">
        <w:rPr>
          <w:rFonts w:ascii="Times New Roman" w:cs="Times New Roman" w:eastAsia="Times New Roman" w:hAnsi="Times New Roman"/>
          <w:b w:val="1"/>
          <w:bCs w:val="1"/>
          <w:sz w:val="24"/>
          <w:szCs w:val="24"/>
          <w:rtl w:val="0"/>
        </w:rPr>
        <w:t xml:space="preserve"> ЗАБЕЗПЕЧЕННЯ НАВЧАННЯ ЗАПОРІЗЬКОГО НАЦІОНАЛЬНОГО УНІВЕРСИТЕТУ  (СЕЗН ЗНУ): </w:t>
      </w:r>
      <w:hyperlink r:id="rId26">
        <w:r w:rsidDel="00000000" w:rsidR="00000000" w:rsidRPr="00000000">
          <w:rPr>
            <w:rFonts w:ascii="Times New Roman" w:cs="Times New Roman" w:eastAsia="Times New Roman" w:hAnsi="Times New Roman"/>
            <w:color w:val="0000ff"/>
            <w:sz w:val="24"/>
            <w:szCs w:val="24"/>
            <w:u w:val="single"/>
            <w:rtl w:val="0"/>
          </w:rPr>
          <w:t xml:space="preserve">https://moodle.znu.edu.ua/</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2C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Посилання для відновлення паролю: </w:t>
      </w:r>
      <w:hyperlink r:id="rId27">
        <w:r w:rsidDel="00000000" w:rsidR="00000000" w:rsidRPr="00000000">
          <w:rPr>
            <w:rFonts w:ascii="Times New Roman" w:cs="Times New Roman" w:eastAsia="Times New Roman" w:hAnsi="Times New Roman"/>
            <w:color w:val="0000ff"/>
            <w:sz w:val="24"/>
            <w:szCs w:val="24"/>
            <w:u w:val="single"/>
            <w:rtl w:val="0"/>
          </w:rPr>
          <w:t xml:space="preserve">https://moodle.znu.edu.ua/mod/page/view.php?id=133015</w:t>
        </w:r>
      </w:hyperlink>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tl w:val="0"/>
        </w:rPr>
      </w:r>
    </w:p>
    <w:p w:rsidR="00000000" w:rsidDel="00000000" w:rsidP="00000000" w:rsidRDefault="00000000" w:rsidRPr="00000000" w14:paraId="000002C5">
      <w:pPr>
        <w:widowControl w:val="0"/>
        <w:spacing w:line="240" w:lineRule="auto"/>
        <w:jc w:val="both"/>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2C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ЦЕНТР ІНТЕНСИВНОГО ВИВЧЕННЯ ІНОЗЕМНИХ МОВ</w:t>
      </w:r>
      <w:r w:rsidDel="00000000" w:rsidR="00000000" w:rsidRPr="00000000">
        <w:rPr>
          <w:rFonts w:ascii="Times New Roman" w:cs="Times New Roman" w:eastAsia="Times New Roman" w:hAnsi="Times New Roman"/>
          <w:smallCaps w:val="1"/>
          <w:sz w:val="24"/>
          <w:szCs w:val="24"/>
          <w:rtl w:val="0"/>
        </w:rPr>
        <w:t xml:space="preserve">: </w:t>
      </w:r>
      <w:hyperlink r:id="rId28">
        <w:r w:rsidDel="00000000" w:rsidR="00000000" w:rsidRPr="00000000">
          <w:rPr>
            <w:rFonts w:ascii="Times New Roman" w:cs="Times New Roman" w:eastAsia="Times New Roman" w:hAnsi="Times New Roman"/>
            <w:color w:val="0000ff"/>
            <w:sz w:val="24"/>
            <w:szCs w:val="24"/>
            <w:u w:val="single"/>
            <w:rtl w:val="0"/>
          </w:rPr>
          <w:t xml:space="preserve">https://sites.znu.edu.ua/child-advance/</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2C7">
      <w:pPr>
        <w:spacing w:line="240" w:lineRule="auto"/>
        <w:jc w:val="both"/>
        <w:rPr>
          <w:rFonts w:ascii="Times New Roman" w:cs="Times New Roman" w:eastAsia="Times New Roman" w:hAnsi="Times New Roman"/>
          <w:b w:val="1"/>
          <w:bCs w:val="1"/>
          <w:smallCaps w:val="1"/>
          <w:sz w:val="28"/>
          <w:szCs w:val="28"/>
        </w:rPr>
      </w:pPr>
      <w:r w:rsidDel="00000000" w:rsidR="00000000" w:rsidRPr="00000000">
        <w:rPr>
          <w:rtl w:val="0"/>
        </w:rPr>
      </w:r>
    </w:p>
    <w:p w:rsidR="00000000" w:rsidDel="00000000" w:rsidP="00000000" w:rsidRDefault="00000000" w:rsidRPr="00000000" w14:paraId="000002C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sectPr>
      <w:headerReference r:id="rId2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C">
    <w:pPr>
      <w:spacing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Запорізький національний університет</w:t>
    </w:r>
    <w:r w:rsidDel="00000000" w:rsidR="00000000" w:rsidRPr="00000000">
      <w:drawing>
        <wp:anchor allowOverlap="1" behindDoc="1" distB="0" distT="0" distL="0" distR="0" hidden="0" layoutInCell="1" locked="0" relativeHeight="0" simplePos="0">
          <wp:simplePos x="0" y="0"/>
          <wp:positionH relativeFrom="column">
            <wp:posOffset>5379720</wp:posOffset>
          </wp:positionH>
          <wp:positionV relativeFrom="paragraph">
            <wp:posOffset>-170813</wp:posOffset>
          </wp:positionV>
          <wp:extent cx="604800" cy="662400"/>
          <wp:effectExtent b="0" l="0" r="0" t="0"/>
          <wp:wrapNone/>
          <wp:docPr descr="Безымянный" id="4" name="image1.png"/>
          <a:graphic>
            <a:graphicData uri="http://schemas.openxmlformats.org/drawingml/2006/picture">
              <pic:pic>
                <pic:nvPicPr>
                  <pic:cNvPr descr="Безымянный" id="0" name="image1.png"/>
                  <pic:cNvPicPr preferRelativeResize="0"/>
                </pic:nvPicPr>
                <pic:blipFill>
                  <a:blip r:embed="rId1"/>
                  <a:srcRect b="79276" l="3988" r="73620" t="0"/>
                  <a:stretch>
                    <a:fillRect/>
                  </a:stretch>
                </pic:blipFill>
                <pic:spPr>
                  <a:xfrm>
                    <a:off x="0" y="0"/>
                    <a:ext cx="604800" cy="662400"/>
                  </a:xfrm>
                  <a:prstGeom prst="rect"/>
                  <a:ln/>
                </pic:spPr>
              </pic:pic>
            </a:graphicData>
          </a:graphic>
        </wp:anchor>
      </w:drawing>
    </w:r>
  </w:p>
  <w:p w:rsidR="00000000" w:rsidDel="00000000" w:rsidP="00000000" w:rsidRDefault="00000000" w:rsidRPr="00000000" w14:paraId="000002CD">
    <w:pPr>
      <w:spacing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Силабус навчальної дисципліни</w:t>
    </w:r>
  </w:p>
  <w:p w:rsidR="00000000" w:rsidDel="00000000" w:rsidP="00000000" w:rsidRDefault="00000000" w:rsidRPr="00000000" w14:paraId="000002CE">
    <w:pPr>
      <w:spacing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Основи технічного аналізу</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2">
    <w:lvl w:ilvl="0">
      <w:start w:val="1"/>
      <w:numFmt w:val="decimal"/>
      <w:lvlText w:val="%1."/>
      <w:lvlJc w:val="left"/>
      <w:pPr>
        <w:ind w:left="0" w:firstLine="709"/>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18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18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08.0" w:type="dxa"/>
        <w:right w:w="108.0" w:type="dxa"/>
      </w:tblCellMar>
    </w:tblPr>
  </w:style>
  <w:style w:type="table" w:styleId="aa" w:customStyle="1">
    <w:basedOn w:val="TableNormal1"/>
    <w:tblPr>
      <w:tblStyleRowBandSize w:val="1"/>
      <w:tblStyleColBandSize w:val="1"/>
      <w:tblCellMar>
        <w:left w:w="108.0" w:type="dxa"/>
        <w:right w:w="108.0" w:type="dxa"/>
      </w:tblCellMar>
    </w:tblPr>
  </w:style>
  <w:style w:type="table" w:styleId="ab" w:customStyle="1">
    <w:basedOn w:val="TableNormal1"/>
    <w:tblPr>
      <w:tblStyleRowBandSize w:val="1"/>
      <w:tblStyleColBandSize w:val="1"/>
      <w:tblCellMar>
        <w:left w:w="108.0" w:type="dxa"/>
        <w:right w:w="108.0" w:type="dxa"/>
      </w:tblCellMar>
    </w:tblPr>
  </w:style>
  <w:style w:type="table" w:styleId="ac" w:customStyle="1">
    <w:basedOn w:val="TableNormal1"/>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left w:w="108.0" w:type="dxa"/>
        <w:right w:w="108.0" w:type="dxa"/>
      </w:tblCellMar>
    </w:tblPr>
  </w:style>
  <w:style w:type="table" w:styleId="ae" w:customStyle="1">
    <w:basedOn w:val="TableNormal1"/>
    <w:tblPr>
      <w:tblStyleRowBandSize w:val="1"/>
      <w:tblStyleColBandSize w:val="1"/>
      <w:tblCellMar>
        <w:left w:w="108.0" w:type="dxa"/>
        <w:right w:w="108.0" w:type="dxa"/>
      </w:tblCellMar>
    </w:tblPr>
  </w:style>
  <w:style w:type="table" w:styleId="af" w:customStyle="1">
    <w:basedOn w:val="TableNormal1"/>
    <w:tblPr>
      <w:tblStyleRowBandSize w:val="1"/>
      <w:tblStyleColBandSize w:val="1"/>
      <w:tblCellMar>
        <w:left w:w="108.0" w:type="dxa"/>
        <w:right w:w="108.0" w:type="dxa"/>
      </w:tblCellMar>
    </w:tblPr>
  </w:style>
  <w:style w:type="table" w:styleId="af0" w:customStyle="1">
    <w:basedOn w:val="TableNormal1"/>
    <w:tblPr>
      <w:tblStyleRowBandSize w:val="1"/>
      <w:tblStyleColBandSize w:val="1"/>
      <w:tblCellMar>
        <w:left w:w="108.0" w:type="dxa"/>
        <w:right w:w="108.0" w:type="dxa"/>
      </w:tblCellMar>
    </w:tblPr>
  </w:style>
  <w:style w:type="table" w:styleId="af1" w:customStyle="1">
    <w:basedOn w:val="TableNormal1"/>
    <w:tblPr>
      <w:tblStyleRowBandSize w:val="1"/>
      <w:tblStyleColBandSize w:val="1"/>
      <w:tblCellMar>
        <w:left w:w="108.0" w:type="dxa"/>
        <w:right w:w="108.0" w:type="dxa"/>
      </w:tblCellMar>
    </w:tblPr>
  </w:style>
  <w:style w:type="table" w:styleId="af2" w:customStyle="1">
    <w:basedOn w:val="TableNormal1"/>
    <w:tblPr>
      <w:tblStyleRowBandSize w:val="1"/>
      <w:tblStyleColBandSize w:val="1"/>
      <w:tblCellMar>
        <w:left w:w="108.0" w:type="dxa"/>
        <w:right w:w="108.0" w:type="dxa"/>
      </w:tblCellMar>
    </w:tblPr>
  </w:style>
  <w:style w:type="table" w:styleId="af3" w:customStyle="1">
    <w:basedOn w:val="TableNormal1"/>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nk.ua/EYNg6GpVZ" TargetMode="External"/><Relationship Id="rId22" Type="http://schemas.openxmlformats.org/officeDocument/2006/relationships/hyperlink" Target="https://lnk.ua/3R4avGqeJ" TargetMode="External"/><Relationship Id="rId21" Type="http://schemas.openxmlformats.org/officeDocument/2006/relationships/hyperlink" Target="https://lnk.ua/QRVdWGwe3" TargetMode="External"/><Relationship Id="rId24" Type="http://schemas.openxmlformats.org/officeDocument/2006/relationships/hyperlink" Target="https://lnk.ua/5pVJr17VP" TargetMode="External"/><Relationship Id="rId23" Type="http://schemas.openxmlformats.org/officeDocument/2006/relationships/hyperlink" Target="mailto:v_banakh@znu.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anobioletters.com/wp-content/uploads/2023/08/LIANBS131.026.pdf" TargetMode="External"/><Relationship Id="rId26" Type="http://schemas.openxmlformats.org/officeDocument/2006/relationships/hyperlink" Target="https://moodle.znu.edu.ua/" TargetMode="External"/><Relationship Id="rId25" Type="http://schemas.openxmlformats.org/officeDocument/2006/relationships/hyperlink" Target="https://library.znu.edu.ua/" TargetMode="External"/><Relationship Id="rId28" Type="http://schemas.openxmlformats.org/officeDocument/2006/relationships/hyperlink" Target="https://sites.znu.edu.ua/child-advance/" TargetMode="External"/><Relationship Id="rId27" Type="http://schemas.openxmlformats.org/officeDocument/2006/relationships/hyperlink" Target="https://moodle.znu.edu.ua/mod/page/view.php?id=133015"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moodle.znu.edu.ua/course/view.php?id=5679" TargetMode="External"/><Relationship Id="rId8" Type="http://schemas.openxmlformats.org/officeDocument/2006/relationships/hyperlink" Target="https://moodle.znu.edu.ua/course/view.php?id=5679" TargetMode="External"/><Relationship Id="rId11" Type="http://schemas.openxmlformats.org/officeDocument/2006/relationships/hyperlink" Target="https://revistas.unal.edu.co/index.php/rccquifa/article/view/112979/91436" TargetMode="External"/><Relationship Id="rId10" Type="http://schemas.openxmlformats.org/officeDocument/2006/relationships/hyperlink" Target="https://revistas.unal.edu.co/index.php/rccquifa/article/view/114424/92126" TargetMode="External"/><Relationship Id="rId13" Type="http://schemas.openxmlformats.org/officeDocument/2006/relationships/hyperlink" Target="https://moodle.znu.edu.ua/mod/resource/view.php?id=103857" TargetMode="External"/><Relationship Id="rId12" Type="http://schemas.openxmlformats.org/officeDocument/2006/relationships/hyperlink" Target="https://moodle.znu.edu.ua/course/view.php?id=5679" TargetMode="External"/><Relationship Id="rId15" Type="http://schemas.openxmlformats.org/officeDocument/2006/relationships/hyperlink" Target="https://tinyurl.com/y8gbt4xs" TargetMode="External"/><Relationship Id="rId14" Type="http://schemas.openxmlformats.org/officeDocument/2006/relationships/hyperlink" Target="mailto:130805olga@gmail.com" TargetMode="External"/><Relationship Id="rId17" Type="http://schemas.openxmlformats.org/officeDocument/2006/relationships/hyperlink" Target="https://lnk.ua/gk4x2wkVy" TargetMode="External"/><Relationship Id="rId16" Type="http://schemas.openxmlformats.org/officeDocument/2006/relationships/hyperlink" Target="https://sites.znu.edu.ua/navchalnyj_viddil/1635.ukr.html" TargetMode="External"/><Relationship Id="rId19" Type="http://schemas.openxmlformats.org/officeDocument/2006/relationships/hyperlink" Target="https://lnk.ua/9MVwgEpVz" TargetMode="External"/><Relationship Id="rId18" Type="http://schemas.openxmlformats.org/officeDocument/2006/relationships/hyperlink" Target="https://sites.znu.edu.ua/navchalnyj_viddil/normatyvna_basa/polozhennya_pro_poryadok_povtornogo_vivchennya_navchal__nikh_distsipl__n_ta_povtornogo_navchannya_u_zn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EAi1U9x4+VJb+DZSj66pf6Tvw==">CgMxLjAyDmgueHZmc3cxMTVpZ2cxMghoLmdqZGd4czIJaC4zMGowemxsMgloLjFmb2I5dGUyCWguM3pueXNoNzIOaC45N3E0ZGlvd2luN3QyDmguZmJzMzI3cWwwand0OAByITFMeDNYb242TWp1RFBpMWtXM3pWMWNrTHpWQ2IzWlg4dw==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2026-02-04T13:47:00Z</dcterms:created>
  <dc:creator>Пользователь</dc:creator>
</cp:coreProperties>
</file>