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EA1E" w14:textId="19392AE7" w:rsidR="008F4880" w:rsidRDefault="008F4880" w:rsidP="008F4880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488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СЕМЕСТРОВОГО КОНТРОЛЮ</w:t>
      </w:r>
    </w:p>
    <w:p w14:paraId="412FAD78" w14:textId="77777777" w:rsidR="008F4880" w:rsidRPr="008F4880" w:rsidRDefault="008F4880" w:rsidP="008F4880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D4E7A3" w14:textId="1FF5484F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Риторичні школи Античності. </w:t>
      </w:r>
    </w:p>
    <w:p w14:paraId="59B30D75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Структура, основні поняття та закони класичної риторики. </w:t>
      </w:r>
    </w:p>
    <w:p w14:paraId="4BC64F25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Специфіка середньовічної української релігійної й світської риторики</w:t>
      </w:r>
    </w:p>
    <w:p w14:paraId="47BCEE1C" w14:textId="042AD284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Історичні паралелі й сучасні закони розвитку </w:t>
      </w:r>
      <w:proofErr w:type="spellStart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неориторики</w:t>
      </w:r>
      <w:proofErr w:type="spellEnd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дієві закони й правила. </w:t>
      </w:r>
    </w:p>
    <w:p w14:paraId="5C1B9BD8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Видова специфіка спілкування: за темою, метою, формою, змістом. </w:t>
      </w:r>
    </w:p>
    <w:p w14:paraId="08DAB469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Жанрова класифікація публічних виступів. </w:t>
      </w:r>
    </w:p>
    <w:p w14:paraId="62AE1685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Специфіка академічного  красномовства. </w:t>
      </w:r>
    </w:p>
    <w:p w14:paraId="40B525E4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Нормативне </w:t>
      </w:r>
      <w:proofErr w:type="spellStart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ненормативне в публічному виступі. </w:t>
      </w:r>
    </w:p>
    <w:p w14:paraId="2F2C85C0" w14:textId="4BA2D43E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Синтонний</w:t>
      </w:r>
      <w:proofErr w:type="spellEnd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конфліктний типи ведення комунікації.</w:t>
      </w:r>
    </w:p>
    <w:p w14:paraId="53F498ED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Фундаментальні закони, принципи й правила спілкування.</w:t>
      </w:r>
    </w:p>
    <w:p w14:paraId="3C53EE25" w14:textId="292C930E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Мовний</w:t>
      </w:r>
      <w:proofErr w:type="spellEnd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вплив: простота складного. </w:t>
      </w:r>
    </w:p>
    <w:p w14:paraId="42117B0C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proofErr w:type="spellStart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тапи</w:t>
      </w:r>
      <w:proofErr w:type="spellEnd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створення публічного тексту, стратегії переконання, система доказів.</w:t>
      </w:r>
    </w:p>
    <w:p w14:paraId="29960B90" w14:textId="2C5B5621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Полемічними прийом спростування.</w:t>
      </w:r>
    </w:p>
    <w:p w14:paraId="55CF5313" w14:textId="77777777" w:rsidR="008F4880" w:rsidRPr="008F4880" w:rsidRDefault="008F4880" w:rsidP="008F488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4880">
        <w:rPr>
          <w:rFonts w:ascii="Times New Roman" w:eastAsia="Times New Roman" w:hAnsi="Times New Roman" w:cs="Times New Roman"/>
          <w:sz w:val="28"/>
          <w:szCs w:val="28"/>
        </w:rPr>
        <w:t>Композиція ораторської промови й підходи до її структурування</w:t>
      </w:r>
      <w:r w:rsidRPr="008F488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1932D1F" w14:textId="5406D013" w:rsidR="008F4880" w:rsidRPr="008F4880" w:rsidRDefault="008F4880" w:rsidP="008F48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sz w:val="28"/>
          <w:szCs w:val="28"/>
        </w:rPr>
        <w:t>Класична (антична)система публічної промови</w:t>
      </w:r>
    </w:p>
    <w:p w14:paraId="60B3D2B5" w14:textId="4AD80199" w:rsidR="008F4880" w:rsidRPr="008F4880" w:rsidRDefault="008F4880" w:rsidP="008F488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F4880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proofErr w:type="spellStart"/>
      <w:r w:rsidRPr="008F4880">
        <w:rPr>
          <w:rFonts w:ascii="Times New Roman" w:eastAsia="Times New Roman" w:hAnsi="Times New Roman" w:cs="Times New Roman"/>
          <w:sz w:val="28"/>
          <w:szCs w:val="28"/>
        </w:rPr>
        <w:t>сучасн</w:t>
      </w:r>
      <w:r w:rsidRPr="008F4880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8F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880">
        <w:rPr>
          <w:rFonts w:ascii="Times New Roman" w:eastAsia="Times New Roman" w:hAnsi="Times New Roman" w:cs="Times New Roman"/>
          <w:sz w:val="28"/>
          <w:szCs w:val="28"/>
        </w:rPr>
        <w:t>публічн</w:t>
      </w:r>
      <w:r w:rsidRPr="008F4880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8F4880">
        <w:rPr>
          <w:rFonts w:ascii="Times New Roman" w:eastAsia="Times New Roman" w:hAnsi="Times New Roman" w:cs="Times New Roman"/>
          <w:sz w:val="28"/>
          <w:szCs w:val="28"/>
        </w:rPr>
        <w:t xml:space="preserve"> промови.</w:t>
      </w:r>
    </w:p>
    <w:p w14:paraId="5914CBE5" w14:textId="77777777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sz w:val="28"/>
          <w:szCs w:val="28"/>
        </w:rPr>
        <w:t>Фонетичні тропи й засоби виразності.</w:t>
      </w:r>
    </w:p>
    <w:p w14:paraId="3DC1CFB0" w14:textId="6142EF4B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sz w:val="28"/>
          <w:szCs w:val="28"/>
        </w:rPr>
        <w:t xml:space="preserve">Лексико-фразеологічна парадигматика в публічному виступі. </w:t>
      </w:r>
    </w:p>
    <w:p w14:paraId="4EB981A5" w14:textId="77777777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sz w:val="28"/>
          <w:szCs w:val="28"/>
        </w:rPr>
        <w:t xml:space="preserve">Засоби й тропи синтаксису української мови. </w:t>
      </w:r>
    </w:p>
    <w:p w14:paraId="79486773" w14:textId="77777777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F4880">
        <w:rPr>
          <w:rFonts w:ascii="Times New Roman" w:eastAsia="Times New Roman" w:hAnsi="Times New Roman" w:cs="Times New Roman"/>
          <w:sz w:val="28"/>
          <w:szCs w:val="28"/>
        </w:rPr>
        <w:t>Атрибутизація</w:t>
      </w:r>
      <w:proofErr w:type="spellEnd"/>
      <w:r w:rsidRPr="008F4880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8F4880">
        <w:rPr>
          <w:rFonts w:ascii="Times New Roman" w:eastAsia="Times New Roman" w:hAnsi="Times New Roman" w:cs="Times New Roman"/>
          <w:sz w:val="28"/>
          <w:szCs w:val="28"/>
        </w:rPr>
        <w:t>гіпонімізація</w:t>
      </w:r>
      <w:proofErr w:type="spellEnd"/>
      <w:r w:rsidRPr="008F488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565C98E" w14:textId="25433130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sz w:val="28"/>
          <w:szCs w:val="28"/>
        </w:rPr>
        <w:t>Типологія риторичних фігур.</w:t>
      </w:r>
    </w:p>
    <w:p w14:paraId="1F268761" w14:textId="3FC8ED86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Схема</w:t>
      </w:r>
      <w:r w:rsidRPr="008F48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F4880">
        <w:rPr>
          <w:rFonts w:ascii="Times New Roman" w:eastAsia="Times New Roman" w:hAnsi="Times New Roman" w:cs="Times New Roman"/>
          <w:sz w:val="28"/>
          <w:szCs w:val="28"/>
        </w:rPr>
        <w:t>риторичного висування: конвергенція, градація, очікування.</w:t>
      </w:r>
    </w:p>
    <w:p w14:paraId="5CD1C709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21795809"/>
      <w:proofErr w:type="spellStart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Спічрайтинг</w:t>
      </w:r>
      <w:proofErr w:type="spellEnd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вид лінгвістичної діяльності: становлення й розвиток. </w:t>
      </w:r>
    </w:p>
    <w:p w14:paraId="44DEC4AC" w14:textId="77777777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Техніки спічрайтера. </w:t>
      </w:r>
    </w:p>
    <w:p w14:paraId="08BCF2D8" w14:textId="77777777" w:rsid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Засоби активізації уваги слухачів у процесі публічного </w:t>
      </w:r>
      <w:proofErr w:type="spellStart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інформувального</w:t>
      </w:r>
      <w:proofErr w:type="spellEnd"/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виступу. </w:t>
      </w:r>
    </w:p>
    <w:p w14:paraId="463C1E55" w14:textId="410F7309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Види запитань та відповідей. </w:t>
      </w:r>
    </w:p>
    <w:p w14:paraId="23668F12" w14:textId="1250EF10" w:rsidR="008F4880" w:rsidRPr="008F4880" w:rsidRDefault="008F4880" w:rsidP="008F488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Риторична етика</w:t>
      </w:r>
      <w:r w:rsidRPr="008F488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8F4880">
        <w:rPr>
          <w:rFonts w:ascii="Times New Roman" w:eastAsia="Times New Roman" w:hAnsi="Times New Roman" w:cs="Times New Roman"/>
          <w:sz w:val="28"/>
          <w:szCs w:val="28"/>
        </w:rPr>
        <w:t>Культура мови оратора.</w:t>
      </w:r>
    </w:p>
    <w:p w14:paraId="4C9A5F36" w14:textId="77777777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8F4880">
        <w:rPr>
          <w:rFonts w:ascii="Times New Roman" w:eastAsia="Times New Roman" w:hAnsi="Times New Roman" w:cs="Times New Roman"/>
          <w:sz w:val="28"/>
          <w:szCs w:val="28"/>
        </w:rPr>
        <w:t>иторичн</w:t>
      </w:r>
      <w:proofErr w:type="spellEnd"/>
      <w:r w:rsidRPr="008F488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8F4880">
        <w:rPr>
          <w:rFonts w:ascii="Times New Roman" w:eastAsia="Times New Roman" w:hAnsi="Times New Roman" w:cs="Times New Roman"/>
          <w:sz w:val="28"/>
          <w:szCs w:val="28"/>
        </w:rPr>
        <w:t xml:space="preserve"> невдач</w:t>
      </w:r>
      <w:r w:rsidRPr="008F488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8F48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48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61150" w14:textId="0712B4A9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sz w:val="28"/>
          <w:szCs w:val="28"/>
        </w:rPr>
        <w:t xml:space="preserve">Поведінковий портрет оратора. </w:t>
      </w:r>
      <w:r w:rsidRPr="008F4880">
        <w:rPr>
          <w:rFonts w:ascii="Times New Roman" w:hAnsi="Times New Roman" w:cs="Times New Roman"/>
          <w:sz w:val="28"/>
          <w:szCs w:val="28"/>
        </w:rPr>
        <w:t xml:space="preserve"> </w:t>
      </w:r>
      <w:r w:rsidRPr="008F4880">
        <w:rPr>
          <w:rFonts w:ascii="Times New Roman" w:eastAsia="Times New Roman" w:hAnsi="Times New Roman" w:cs="Times New Roman"/>
          <w:sz w:val="28"/>
          <w:szCs w:val="28"/>
        </w:rPr>
        <w:t xml:space="preserve">Невербальні засоби вираження думок та емоцій. </w:t>
      </w:r>
    </w:p>
    <w:p w14:paraId="7501BB96" w14:textId="592A13CA" w:rsidR="008F4880" w:rsidRPr="008F4880" w:rsidRDefault="008F4880" w:rsidP="008F488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80">
        <w:rPr>
          <w:rFonts w:ascii="Times New Roman" w:eastAsia="Times New Roman" w:hAnsi="Times New Roman" w:cs="Times New Roman"/>
          <w:sz w:val="28"/>
          <w:szCs w:val="28"/>
        </w:rPr>
        <w:t>Техніка мовлення й утримання уваги аудиторії.</w:t>
      </w:r>
    </w:p>
    <w:p w14:paraId="48C87BC6" w14:textId="77777777" w:rsidR="004149DD" w:rsidRDefault="004149DD"/>
    <w:sectPr w:rsidR="004149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463C6"/>
    <w:multiLevelType w:val="hybridMultilevel"/>
    <w:tmpl w:val="F768DE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0A"/>
    <w:rsid w:val="003E6E0B"/>
    <w:rsid w:val="0040350A"/>
    <w:rsid w:val="004149DD"/>
    <w:rsid w:val="008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D49A"/>
  <w15:chartTrackingRefBased/>
  <w15:docId w15:val="{D3A0E568-6B2D-4EB4-8D0A-4186F5AC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80"/>
    <w:pPr>
      <w:spacing w:after="0" w:line="240" w:lineRule="auto"/>
    </w:pPr>
    <w:rPr>
      <w:rFonts w:ascii="Calibri" w:eastAsia="Calibri" w:hAnsi="Calibri" w:cs="Calibri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2026-02-12T11:52:00Z</dcterms:created>
  <dcterms:modified xsi:type="dcterms:W3CDTF">2026-02-12T11:57:00Z</dcterms:modified>
</cp:coreProperties>
</file>