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0516" w:rsidRPr="0051365E" w:rsidRDefault="00E30516" w:rsidP="0051365E">
      <w:pPr>
        <w:spacing w:line="360" w:lineRule="auto"/>
        <w:ind w:firstLine="709"/>
        <w:jc w:val="both"/>
        <w:rPr>
          <w:rFonts w:ascii="Times New Roman" w:hAnsi="Times New Roman" w:cs="Times New Roman"/>
          <w:iCs/>
          <w:sz w:val="28"/>
          <w:szCs w:val="28"/>
        </w:rPr>
      </w:pPr>
      <w:r w:rsidRPr="0051365E">
        <w:rPr>
          <w:rFonts w:ascii="Times New Roman" w:hAnsi="Times New Roman" w:cs="Times New Roman"/>
          <w:iCs/>
          <w:sz w:val="28"/>
          <w:szCs w:val="28"/>
        </w:rPr>
        <w:t>Міжнародні стандарти цифрової компетентності для громадян України</w:t>
      </w:r>
    </w:p>
    <w:p w:rsidR="00E30516" w:rsidRPr="0051365E" w:rsidRDefault="00E30516" w:rsidP="0051365E">
      <w:pPr>
        <w:spacing w:line="360" w:lineRule="auto"/>
        <w:ind w:firstLine="708"/>
        <w:jc w:val="both"/>
        <w:rPr>
          <w:rFonts w:ascii="Times New Roman" w:hAnsi="Times New Roman" w:cs="Times New Roman"/>
          <w:iCs/>
          <w:sz w:val="28"/>
          <w:szCs w:val="28"/>
        </w:rPr>
      </w:pPr>
      <w:bookmarkStart w:id="0" w:name="_Hlk220064959"/>
      <w:r w:rsidRPr="0051365E">
        <w:rPr>
          <w:rFonts w:ascii="Times New Roman" w:hAnsi="Times New Roman" w:cs="Times New Roman"/>
          <w:iCs/>
          <w:sz w:val="28"/>
          <w:szCs w:val="28"/>
        </w:rPr>
        <w:t>Концепція</w:t>
      </w:r>
      <w:bookmarkEnd w:id="0"/>
      <w:r w:rsidRPr="0051365E">
        <w:rPr>
          <w:rFonts w:ascii="Times New Roman" w:hAnsi="Times New Roman" w:cs="Times New Roman"/>
          <w:iCs/>
          <w:sz w:val="28"/>
          <w:szCs w:val="28"/>
        </w:rPr>
        <w:t xml:space="preserve"> DIGCOMP 2.2: актуальна міжнародна рамка, яка визначає 21 компетенцію у 5 сферах, включаючи інформаційну грамотність та розв'язання проблем у цифровому середовищі.</w:t>
      </w:r>
    </w:p>
    <w:p w:rsidR="00E30516" w:rsidRPr="0051365E" w:rsidRDefault="00E30516" w:rsidP="0051365E">
      <w:pPr>
        <w:spacing w:line="360" w:lineRule="auto"/>
        <w:jc w:val="both"/>
        <w:rPr>
          <w:rFonts w:ascii="Times New Roman" w:hAnsi="Times New Roman" w:cs="Times New Roman"/>
          <w:iCs/>
          <w:sz w:val="28"/>
          <w:szCs w:val="28"/>
        </w:rPr>
      </w:pPr>
      <w:r w:rsidRPr="0051365E">
        <w:rPr>
          <w:rFonts w:ascii="Times New Roman" w:hAnsi="Times New Roman" w:cs="Times New Roman"/>
          <w:iCs/>
          <w:sz w:val="28"/>
          <w:szCs w:val="28"/>
        </w:rPr>
        <w:t xml:space="preserve">Концепція </w:t>
      </w:r>
      <w:proofErr w:type="spellStart"/>
      <w:r w:rsidRPr="0051365E">
        <w:rPr>
          <w:rFonts w:ascii="Times New Roman" w:hAnsi="Times New Roman" w:cs="Times New Roman"/>
          <w:iCs/>
          <w:sz w:val="28"/>
          <w:szCs w:val="28"/>
        </w:rPr>
        <w:t>DigComp</w:t>
      </w:r>
      <w:proofErr w:type="spellEnd"/>
      <w:r w:rsidRPr="0051365E">
        <w:rPr>
          <w:rFonts w:ascii="Times New Roman" w:hAnsi="Times New Roman" w:cs="Times New Roman"/>
          <w:iCs/>
          <w:sz w:val="28"/>
          <w:szCs w:val="28"/>
        </w:rPr>
        <w:t xml:space="preserve"> 3.0 (п'ята редакція, 2025 рік) —більше фокусу на AI в роботі, потребують цифрових навичок.</w:t>
      </w:r>
    </w:p>
    <w:p w:rsidR="00E30516" w:rsidRPr="0051365E" w:rsidRDefault="00E30516" w:rsidP="0051365E">
      <w:pPr>
        <w:spacing w:line="360" w:lineRule="auto"/>
        <w:jc w:val="both"/>
        <w:rPr>
          <w:rFonts w:ascii="Times New Roman" w:hAnsi="Times New Roman" w:cs="Times New Roman"/>
          <w:iCs/>
          <w:sz w:val="28"/>
          <w:szCs w:val="28"/>
        </w:rPr>
      </w:pPr>
      <w:r w:rsidRPr="0051365E">
        <w:rPr>
          <w:rFonts w:ascii="Times New Roman" w:hAnsi="Times New Roman" w:cs="Times New Roman"/>
          <w:iCs/>
          <w:sz w:val="28"/>
          <w:szCs w:val="28"/>
        </w:rPr>
        <w:t xml:space="preserve">Використання </w:t>
      </w:r>
      <w:proofErr w:type="spellStart"/>
      <w:r w:rsidRPr="0051365E">
        <w:rPr>
          <w:rFonts w:ascii="Times New Roman" w:hAnsi="Times New Roman" w:cs="Times New Roman"/>
          <w:iCs/>
          <w:sz w:val="28"/>
          <w:szCs w:val="28"/>
        </w:rPr>
        <w:t>DigComp</w:t>
      </w:r>
      <w:proofErr w:type="spellEnd"/>
      <w:r w:rsidRPr="0051365E">
        <w:rPr>
          <w:rFonts w:ascii="Times New Roman" w:hAnsi="Times New Roman" w:cs="Times New Roman"/>
          <w:iCs/>
          <w:sz w:val="28"/>
          <w:szCs w:val="28"/>
        </w:rPr>
        <w:t xml:space="preserve"> 2.2 (і його адаптації) В Україні, а  саме використання в </w:t>
      </w:r>
      <w:proofErr w:type="spellStart"/>
      <w:r w:rsidRPr="0051365E">
        <w:rPr>
          <w:rFonts w:ascii="Times New Roman" w:hAnsi="Times New Roman" w:cs="Times New Roman"/>
          <w:iCs/>
          <w:sz w:val="28"/>
          <w:szCs w:val="28"/>
        </w:rPr>
        <w:t>Дія.Освіта</w:t>
      </w:r>
      <w:proofErr w:type="spellEnd"/>
      <w:r w:rsidRPr="0051365E">
        <w:rPr>
          <w:rFonts w:ascii="Times New Roman" w:hAnsi="Times New Roman" w:cs="Times New Roman"/>
          <w:iCs/>
          <w:sz w:val="28"/>
          <w:szCs w:val="28"/>
        </w:rPr>
        <w:t xml:space="preserve"> для тесту </w:t>
      </w:r>
      <w:proofErr w:type="spellStart"/>
      <w:r w:rsidRPr="0051365E">
        <w:rPr>
          <w:rFonts w:ascii="Times New Roman" w:hAnsi="Times New Roman" w:cs="Times New Roman"/>
          <w:iCs/>
          <w:sz w:val="28"/>
          <w:szCs w:val="28"/>
        </w:rPr>
        <w:t>Цифрограм</w:t>
      </w:r>
      <w:proofErr w:type="spellEnd"/>
      <w:r w:rsidRPr="0051365E">
        <w:rPr>
          <w:rFonts w:ascii="Times New Roman" w:hAnsi="Times New Roman" w:cs="Times New Roman"/>
          <w:iCs/>
          <w:sz w:val="28"/>
          <w:szCs w:val="28"/>
        </w:rPr>
        <w:t xml:space="preserve"> 2.0 (90 питань за стандартом </w:t>
      </w:r>
      <w:proofErr w:type="spellStart"/>
      <w:r w:rsidRPr="0051365E">
        <w:rPr>
          <w:rFonts w:ascii="Times New Roman" w:hAnsi="Times New Roman" w:cs="Times New Roman"/>
          <w:iCs/>
          <w:sz w:val="28"/>
          <w:szCs w:val="28"/>
        </w:rPr>
        <w:t>DigComp</w:t>
      </w:r>
      <w:proofErr w:type="spellEnd"/>
      <w:r w:rsidRPr="0051365E">
        <w:rPr>
          <w:rFonts w:ascii="Times New Roman" w:hAnsi="Times New Roman" w:cs="Times New Roman"/>
          <w:iCs/>
          <w:sz w:val="28"/>
          <w:szCs w:val="28"/>
        </w:rPr>
        <w:t xml:space="preserve">). Це національний стандарт цифрової грамотності, який повністю відповідає європейському </w:t>
      </w:r>
      <w:proofErr w:type="spellStart"/>
      <w:r w:rsidRPr="0051365E">
        <w:rPr>
          <w:rFonts w:ascii="Times New Roman" w:hAnsi="Times New Roman" w:cs="Times New Roman"/>
          <w:iCs/>
          <w:sz w:val="28"/>
          <w:szCs w:val="28"/>
        </w:rPr>
        <w:t>DigComp</w:t>
      </w:r>
      <w:proofErr w:type="spellEnd"/>
      <w:r w:rsidRPr="0051365E">
        <w:rPr>
          <w:rFonts w:ascii="Times New Roman" w:hAnsi="Times New Roman" w:cs="Times New Roman"/>
          <w:iCs/>
          <w:sz w:val="28"/>
          <w:szCs w:val="28"/>
        </w:rPr>
        <w:t xml:space="preserve"> 2.2.</w:t>
      </w:r>
    </w:p>
    <w:p w:rsidR="00E30516" w:rsidRPr="0051365E" w:rsidRDefault="00E30516" w:rsidP="0051365E">
      <w:pPr>
        <w:spacing w:line="360" w:lineRule="auto"/>
        <w:jc w:val="both"/>
        <w:rPr>
          <w:rFonts w:ascii="Times New Roman" w:hAnsi="Times New Roman" w:cs="Times New Roman"/>
          <w:iCs/>
          <w:sz w:val="28"/>
          <w:szCs w:val="28"/>
        </w:rPr>
      </w:pPr>
      <w:r w:rsidRPr="0051365E">
        <w:rPr>
          <w:rFonts w:ascii="Times New Roman" w:hAnsi="Times New Roman" w:cs="Times New Roman"/>
          <w:iCs/>
          <w:sz w:val="28"/>
          <w:szCs w:val="28"/>
        </w:rPr>
        <w:t xml:space="preserve">Аналізи впровадження </w:t>
      </w:r>
      <w:proofErr w:type="spellStart"/>
      <w:r w:rsidRPr="0051365E">
        <w:rPr>
          <w:rFonts w:ascii="Times New Roman" w:hAnsi="Times New Roman" w:cs="Times New Roman"/>
          <w:iCs/>
          <w:sz w:val="28"/>
          <w:szCs w:val="28"/>
        </w:rPr>
        <w:t>DigComp</w:t>
      </w:r>
      <w:proofErr w:type="spellEnd"/>
      <w:r w:rsidRPr="0051365E">
        <w:rPr>
          <w:rFonts w:ascii="Times New Roman" w:hAnsi="Times New Roman" w:cs="Times New Roman"/>
          <w:iCs/>
          <w:sz w:val="28"/>
          <w:szCs w:val="28"/>
        </w:rPr>
        <w:t xml:space="preserve"> 2.2 в країнах (наприклад, в Австралії чи Німеччині згадують план на </w:t>
      </w:r>
      <w:proofErr w:type="spellStart"/>
      <w:r w:rsidRPr="0051365E">
        <w:rPr>
          <w:rFonts w:ascii="Times New Roman" w:hAnsi="Times New Roman" w:cs="Times New Roman"/>
          <w:iCs/>
          <w:sz w:val="28"/>
          <w:szCs w:val="28"/>
        </w:rPr>
        <w:t>DigComp</w:t>
      </w:r>
      <w:proofErr w:type="spellEnd"/>
      <w:r w:rsidRPr="0051365E">
        <w:rPr>
          <w:rFonts w:ascii="Times New Roman" w:hAnsi="Times New Roman" w:cs="Times New Roman"/>
          <w:iCs/>
          <w:sz w:val="28"/>
          <w:szCs w:val="28"/>
        </w:rPr>
        <w:t xml:space="preserve"> 3.0 у 2025). Дослідження </w:t>
      </w:r>
      <w:proofErr w:type="spellStart"/>
      <w:r w:rsidRPr="0051365E">
        <w:rPr>
          <w:rFonts w:ascii="Times New Roman" w:hAnsi="Times New Roman" w:cs="Times New Roman"/>
          <w:iCs/>
          <w:sz w:val="28"/>
          <w:szCs w:val="28"/>
        </w:rPr>
        <w:t>data</w:t>
      </w:r>
      <w:proofErr w:type="spellEnd"/>
      <w:r w:rsidRPr="0051365E">
        <w:rPr>
          <w:rFonts w:ascii="Times New Roman" w:hAnsi="Times New Roman" w:cs="Times New Roman"/>
          <w:iCs/>
          <w:sz w:val="28"/>
          <w:szCs w:val="28"/>
        </w:rPr>
        <w:t xml:space="preserve"> </w:t>
      </w:r>
      <w:proofErr w:type="spellStart"/>
      <w:r w:rsidRPr="0051365E">
        <w:rPr>
          <w:rFonts w:ascii="Times New Roman" w:hAnsi="Times New Roman" w:cs="Times New Roman"/>
          <w:iCs/>
          <w:sz w:val="28"/>
          <w:szCs w:val="28"/>
        </w:rPr>
        <w:t>literacy</w:t>
      </w:r>
      <w:proofErr w:type="spellEnd"/>
      <w:r w:rsidRPr="0051365E">
        <w:rPr>
          <w:rFonts w:ascii="Times New Roman" w:hAnsi="Times New Roman" w:cs="Times New Roman"/>
          <w:iCs/>
          <w:sz w:val="28"/>
          <w:szCs w:val="28"/>
        </w:rPr>
        <w:t xml:space="preserve"> в </w:t>
      </w:r>
      <w:proofErr w:type="spellStart"/>
      <w:r w:rsidRPr="0051365E">
        <w:rPr>
          <w:rFonts w:ascii="Times New Roman" w:hAnsi="Times New Roman" w:cs="Times New Roman"/>
          <w:iCs/>
          <w:sz w:val="28"/>
          <w:szCs w:val="28"/>
        </w:rPr>
        <w:t>DigComp</w:t>
      </w:r>
      <w:proofErr w:type="spellEnd"/>
      <w:r w:rsidRPr="0051365E">
        <w:rPr>
          <w:rFonts w:ascii="Times New Roman" w:hAnsi="Times New Roman" w:cs="Times New Roman"/>
          <w:iCs/>
          <w:sz w:val="28"/>
          <w:szCs w:val="28"/>
        </w:rPr>
        <w:t xml:space="preserve"> 2.2.</w:t>
      </w:r>
    </w:p>
    <w:p w:rsidR="00B478E8" w:rsidRPr="0051365E" w:rsidRDefault="00B478E8" w:rsidP="0051365E">
      <w:pPr>
        <w:spacing w:line="360" w:lineRule="auto"/>
        <w:jc w:val="both"/>
        <w:rPr>
          <w:rFonts w:ascii="Times New Roman" w:hAnsi="Times New Roman" w:cs="Times New Roman"/>
          <w:sz w:val="28"/>
          <w:szCs w:val="28"/>
        </w:rPr>
      </w:pPr>
    </w:p>
    <w:p w:rsidR="00E30516" w:rsidRPr="0051365E" w:rsidRDefault="00E30516" w:rsidP="0051365E">
      <w:pPr>
        <w:spacing w:line="360" w:lineRule="auto"/>
        <w:jc w:val="both"/>
        <w:rPr>
          <w:rFonts w:ascii="Times New Roman" w:hAnsi="Times New Roman" w:cs="Times New Roman"/>
          <w:sz w:val="28"/>
          <w:szCs w:val="28"/>
        </w:rPr>
      </w:pPr>
    </w:p>
    <w:p w:rsidR="00E30516" w:rsidRPr="0051365E" w:rsidRDefault="00E30516" w:rsidP="0051365E">
      <w:pPr>
        <w:spacing w:line="360" w:lineRule="auto"/>
        <w:jc w:val="both"/>
        <w:rPr>
          <w:rFonts w:ascii="Times New Roman" w:hAnsi="Times New Roman" w:cs="Times New Roman"/>
          <w:sz w:val="28"/>
          <w:szCs w:val="28"/>
        </w:rPr>
      </w:pPr>
    </w:p>
    <w:p w:rsidR="00E30516" w:rsidRPr="00E30516" w:rsidRDefault="00E30516" w:rsidP="0051365E">
      <w:pPr>
        <w:spacing w:line="360" w:lineRule="auto"/>
        <w:jc w:val="both"/>
        <w:rPr>
          <w:rFonts w:ascii="Times New Roman" w:hAnsi="Times New Roman" w:cs="Times New Roman"/>
          <w:sz w:val="28"/>
          <w:szCs w:val="28"/>
        </w:rPr>
      </w:pPr>
      <w:r w:rsidRPr="00E30516">
        <w:rPr>
          <w:rFonts w:ascii="Times New Roman" w:hAnsi="Times New Roman" w:cs="Times New Roman"/>
          <w:sz w:val="28"/>
          <w:szCs w:val="28"/>
        </w:rPr>
        <w:t>Що таке Європейська рамка цифрової компетентності (</w:t>
      </w:r>
      <w:proofErr w:type="spellStart"/>
      <w:r w:rsidRPr="00E30516">
        <w:rPr>
          <w:rFonts w:ascii="Times New Roman" w:hAnsi="Times New Roman" w:cs="Times New Roman"/>
          <w:sz w:val="28"/>
          <w:szCs w:val="28"/>
        </w:rPr>
        <w:t>DigComp</w:t>
      </w:r>
      <w:proofErr w:type="spellEnd"/>
      <w:r w:rsidRPr="00E30516">
        <w:rPr>
          <w:rFonts w:ascii="Times New Roman" w:hAnsi="Times New Roman" w:cs="Times New Roman"/>
          <w:sz w:val="28"/>
          <w:szCs w:val="28"/>
        </w:rPr>
        <w:t>)? </w:t>
      </w:r>
    </w:p>
    <w:p w:rsidR="00E30516" w:rsidRPr="00E30516" w:rsidRDefault="00E30516" w:rsidP="0051365E">
      <w:pPr>
        <w:spacing w:line="360" w:lineRule="auto"/>
        <w:jc w:val="both"/>
        <w:rPr>
          <w:rFonts w:ascii="Times New Roman" w:hAnsi="Times New Roman" w:cs="Times New Roman"/>
          <w:sz w:val="28"/>
          <w:szCs w:val="28"/>
        </w:rPr>
      </w:pPr>
      <w:r w:rsidRPr="00E30516">
        <w:rPr>
          <w:rFonts w:ascii="Times New Roman" w:hAnsi="Times New Roman" w:cs="Times New Roman"/>
          <w:sz w:val="28"/>
          <w:szCs w:val="28"/>
        </w:rPr>
        <w:t>Європейська рамка цифрової компетентності (</w:t>
      </w:r>
      <w:proofErr w:type="spellStart"/>
      <w:r w:rsidRPr="00E30516">
        <w:rPr>
          <w:rFonts w:ascii="Times New Roman" w:hAnsi="Times New Roman" w:cs="Times New Roman"/>
          <w:sz w:val="28"/>
          <w:szCs w:val="28"/>
        </w:rPr>
        <w:t>DigComp</w:t>
      </w:r>
      <w:proofErr w:type="spellEnd"/>
      <w:r w:rsidRPr="00E30516">
        <w:rPr>
          <w:rFonts w:ascii="Times New Roman" w:hAnsi="Times New Roman" w:cs="Times New Roman"/>
          <w:sz w:val="28"/>
          <w:szCs w:val="28"/>
        </w:rPr>
        <w:t>) описує, що потрібно для цифрової компетентності в сучасному суспільстві, та підтримує розвиток цифрової компетентності серед людей різного віку. Вона охоплює широкий спектр рівнів навичок, від базового до дуже просунутого, та пропонує стабільну точку відліку в умовах швидкозмінного цифрового технологічного ландшафту.</w:t>
      </w:r>
    </w:p>
    <w:p w:rsidR="00E30516" w:rsidRPr="00E30516" w:rsidRDefault="00E30516" w:rsidP="0051365E">
      <w:pPr>
        <w:spacing w:line="360" w:lineRule="auto"/>
        <w:jc w:val="both"/>
        <w:rPr>
          <w:rFonts w:ascii="Times New Roman" w:hAnsi="Times New Roman" w:cs="Times New Roman"/>
          <w:sz w:val="28"/>
          <w:szCs w:val="28"/>
        </w:rPr>
      </w:pPr>
      <w:proofErr w:type="spellStart"/>
      <w:r w:rsidRPr="00E30516">
        <w:rPr>
          <w:rFonts w:ascii="Times New Roman" w:hAnsi="Times New Roman" w:cs="Times New Roman"/>
          <w:sz w:val="28"/>
          <w:szCs w:val="28"/>
        </w:rPr>
        <w:t>DigComp</w:t>
      </w:r>
      <w:proofErr w:type="spellEnd"/>
      <w:r w:rsidRPr="00E30516">
        <w:rPr>
          <w:rFonts w:ascii="Times New Roman" w:hAnsi="Times New Roman" w:cs="Times New Roman"/>
          <w:sz w:val="28"/>
          <w:szCs w:val="28"/>
        </w:rPr>
        <w:t xml:space="preserve"> 3.0 – це п’ята версія рамки. Перша версія була опублікована у  </w:t>
      </w:r>
      <w:hyperlink r:id="rId5" w:history="1">
        <w:r w:rsidRPr="00E30516">
          <w:rPr>
            <w:rStyle w:val="a3"/>
            <w:rFonts w:ascii="Times New Roman" w:hAnsi="Times New Roman" w:cs="Times New Roman"/>
            <w:sz w:val="28"/>
            <w:szCs w:val="28"/>
          </w:rPr>
          <w:t>2013 році</w:t>
        </w:r>
      </w:hyperlink>
      <w:r w:rsidRPr="00E30516">
        <w:rPr>
          <w:rFonts w:ascii="Times New Roman" w:hAnsi="Times New Roman" w:cs="Times New Roman"/>
          <w:sz w:val="28"/>
          <w:szCs w:val="28"/>
        </w:rPr>
        <w:t> , а оновлення були опубліковані у  </w:t>
      </w:r>
      <w:hyperlink r:id="rId6" w:history="1">
        <w:r w:rsidRPr="00E30516">
          <w:rPr>
            <w:rStyle w:val="a3"/>
            <w:rFonts w:ascii="Times New Roman" w:hAnsi="Times New Roman" w:cs="Times New Roman"/>
            <w:sz w:val="28"/>
            <w:szCs w:val="28"/>
          </w:rPr>
          <w:t>2016</w:t>
        </w:r>
      </w:hyperlink>
      <w:r w:rsidRPr="00E30516">
        <w:rPr>
          <w:rFonts w:ascii="Times New Roman" w:hAnsi="Times New Roman" w:cs="Times New Roman"/>
          <w:sz w:val="28"/>
          <w:szCs w:val="28"/>
        </w:rPr>
        <w:t> , </w:t>
      </w:r>
      <w:hyperlink r:id="rId7" w:history="1">
        <w:r w:rsidRPr="00E30516">
          <w:rPr>
            <w:rStyle w:val="a3"/>
            <w:rFonts w:ascii="Times New Roman" w:hAnsi="Times New Roman" w:cs="Times New Roman"/>
            <w:sz w:val="28"/>
            <w:szCs w:val="28"/>
          </w:rPr>
          <w:t>2017</w:t>
        </w:r>
      </w:hyperlink>
      <w:r w:rsidRPr="00E30516">
        <w:rPr>
          <w:rFonts w:ascii="Times New Roman" w:hAnsi="Times New Roman" w:cs="Times New Roman"/>
          <w:sz w:val="28"/>
          <w:szCs w:val="28"/>
        </w:rPr>
        <w:t> та  </w:t>
      </w:r>
      <w:hyperlink r:id="rId8" w:history="1">
        <w:r w:rsidRPr="00E30516">
          <w:rPr>
            <w:rStyle w:val="a3"/>
            <w:rFonts w:ascii="Times New Roman" w:hAnsi="Times New Roman" w:cs="Times New Roman"/>
            <w:sz w:val="28"/>
            <w:szCs w:val="28"/>
          </w:rPr>
          <w:t>2022 роках</w:t>
        </w:r>
      </w:hyperlink>
      <w:r w:rsidRPr="00E30516">
        <w:rPr>
          <w:rFonts w:ascii="Times New Roman" w:hAnsi="Times New Roman" w:cs="Times New Roman"/>
          <w:sz w:val="28"/>
          <w:szCs w:val="28"/>
        </w:rPr>
        <w:t> . Структура розроблена  </w:t>
      </w:r>
      <w:hyperlink r:id="rId9" w:history="1">
        <w:r w:rsidRPr="00E30516">
          <w:rPr>
            <w:rStyle w:val="a3"/>
            <w:rFonts w:ascii="Times New Roman" w:hAnsi="Times New Roman" w:cs="Times New Roman"/>
            <w:sz w:val="28"/>
            <w:szCs w:val="28"/>
          </w:rPr>
          <w:t>Спільним дослідницьким центром</w:t>
        </w:r>
      </w:hyperlink>
      <w:r w:rsidRPr="00E30516">
        <w:rPr>
          <w:rFonts w:ascii="Times New Roman" w:hAnsi="Times New Roman" w:cs="Times New Roman"/>
          <w:sz w:val="28"/>
          <w:szCs w:val="28"/>
        </w:rPr>
        <w:t> Європейської Комісії (JRC) у співпраці з  </w:t>
      </w:r>
      <w:hyperlink r:id="rId10" w:history="1">
        <w:r w:rsidRPr="00E30516">
          <w:rPr>
            <w:rStyle w:val="a3"/>
            <w:rFonts w:ascii="Times New Roman" w:hAnsi="Times New Roman" w:cs="Times New Roman"/>
            <w:sz w:val="28"/>
            <w:szCs w:val="28"/>
          </w:rPr>
          <w:t>Генеральним директоратом з питань зайнятості, соціальних справ та інклюзії</w:t>
        </w:r>
      </w:hyperlink>
      <w:r w:rsidRPr="00E30516">
        <w:rPr>
          <w:rFonts w:ascii="Times New Roman" w:hAnsi="Times New Roman" w:cs="Times New Roman"/>
          <w:sz w:val="28"/>
          <w:szCs w:val="28"/>
        </w:rPr>
        <w:t> (DG EMPL).</w:t>
      </w:r>
    </w:p>
    <w:p w:rsidR="00E30516" w:rsidRPr="00E30516" w:rsidRDefault="00E30516" w:rsidP="0051365E">
      <w:pPr>
        <w:spacing w:line="360" w:lineRule="auto"/>
        <w:jc w:val="both"/>
        <w:rPr>
          <w:rFonts w:ascii="Times New Roman" w:hAnsi="Times New Roman" w:cs="Times New Roman"/>
          <w:sz w:val="28"/>
          <w:szCs w:val="28"/>
        </w:rPr>
      </w:pPr>
      <w:r w:rsidRPr="00E30516">
        <w:rPr>
          <w:rFonts w:ascii="Times New Roman" w:hAnsi="Times New Roman" w:cs="Times New Roman"/>
          <w:sz w:val="28"/>
          <w:szCs w:val="28"/>
        </w:rPr>
        <w:t>Чому важлива цифрова компетентність? </w:t>
      </w:r>
    </w:p>
    <w:p w:rsidR="00E30516" w:rsidRPr="00E30516" w:rsidRDefault="00E30516" w:rsidP="0051365E">
      <w:pPr>
        <w:spacing w:line="360" w:lineRule="auto"/>
        <w:jc w:val="both"/>
        <w:rPr>
          <w:rFonts w:ascii="Times New Roman" w:hAnsi="Times New Roman" w:cs="Times New Roman"/>
          <w:sz w:val="28"/>
          <w:szCs w:val="28"/>
        </w:rPr>
      </w:pPr>
      <w:r w:rsidRPr="00E30516">
        <w:rPr>
          <w:rFonts w:ascii="Times New Roman" w:hAnsi="Times New Roman" w:cs="Times New Roman"/>
          <w:sz w:val="28"/>
          <w:szCs w:val="28"/>
        </w:rPr>
        <w:t xml:space="preserve">Цифрове середовище зараз тісно пов'язане з повсякденним життям, роботою, навчанням та участю в суспільстві. Люди повинні бути </w:t>
      </w:r>
      <w:proofErr w:type="spellStart"/>
      <w:r w:rsidRPr="00E30516">
        <w:rPr>
          <w:rFonts w:ascii="Times New Roman" w:hAnsi="Times New Roman" w:cs="Times New Roman"/>
          <w:sz w:val="28"/>
          <w:szCs w:val="28"/>
        </w:rPr>
        <w:t>цифрово</w:t>
      </w:r>
      <w:proofErr w:type="spellEnd"/>
      <w:r w:rsidRPr="00E30516">
        <w:rPr>
          <w:rFonts w:ascii="Times New Roman" w:hAnsi="Times New Roman" w:cs="Times New Roman"/>
          <w:sz w:val="28"/>
          <w:szCs w:val="28"/>
        </w:rPr>
        <w:t xml:space="preserve"> компетентними, щоб скористатися можливостями, що пропонуються цифровими технологіями, а </w:t>
      </w:r>
      <w:r w:rsidRPr="00E30516">
        <w:rPr>
          <w:rFonts w:ascii="Times New Roman" w:hAnsi="Times New Roman" w:cs="Times New Roman"/>
          <w:sz w:val="28"/>
          <w:szCs w:val="28"/>
        </w:rPr>
        <w:lastRenderedPageBreak/>
        <w:t xml:space="preserve">також викликами, які вони можуть принести. Нам потрібна цифрова компетентність для багатьох видів діяльності – щоб шукати, знаходити та критично інтерпретувати інформацію в Інтернеті; створювати, редагувати та поширювати цифровий контент; керувати конфіденційністю, безпекою та добробутом у цифровому середовищі; використовувати цифрові платформи та послуги; користуватися можливостями працевлаштування та навчання; а також для соціальних </w:t>
      </w:r>
      <w:proofErr w:type="spellStart"/>
      <w:r w:rsidRPr="00E30516">
        <w:rPr>
          <w:rFonts w:ascii="Times New Roman" w:hAnsi="Times New Roman" w:cs="Times New Roman"/>
          <w:sz w:val="28"/>
          <w:szCs w:val="28"/>
        </w:rPr>
        <w:t>зв'язків</w:t>
      </w:r>
      <w:proofErr w:type="spellEnd"/>
      <w:r w:rsidRPr="00E30516">
        <w:rPr>
          <w:rFonts w:ascii="Times New Roman" w:hAnsi="Times New Roman" w:cs="Times New Roman"/>
          <w:sz w:val="28"/>
          <w:szCs w:val="28"/>
        </w:rPr>
        <w:t xml:space="preserve"> та громадянської участі за допомогою цифрових технологій, і це лише деякі з них.</w:t>
      </w:r>
    </w:p>
    <w:p w:rsidR="00E30516" w:rsidRPr="00E30516" w:rsidRDefault="00E30516" w:rsidP="0051365E">
      <w:pPr>
        <w:spacing w:line="360" w:lineRule="auto"/>
        <w:jc w:val="both"/>
        <w:rPr>
          <w:rFonts w:ascii="Times New Roman" w:hAnsi="Times New Roman" w:cs="Times New Roman"/>
          <w:sz w:val="28"/>
          <w:szCs w:val="28"/>
        </w:rPr>
      </w:pPr>
      <w:r w:rsidRPr="00E30516">
        <w:rPr>
          <w:rFonts w:ascii="Times New Roman" w:hAnsi="Times New Roman" w:cs="Times New Roman"/>
          <w:sz w:val="28"/>
          <w:szCs w:val="28"/>
        </w:rPr>
        <w:t>Однак у 2023 році лише  </w:t>
      </w:r>
      <w:hyperlink r:id="rId11" w:history="1">
        <w:r w:rsidRPr="00E30516">
          <w:rPr>
            <w:rStyle w:val="a3"/>
            <w:rFonts w:ascii="Times New Roman" w:hAnsi="Times New Roman" w:cs="Times New Roman"/>
            <w:sz w:val="28"/>
            <w:szCs w:val="28"/>
          </w:rPr>
          <w:t>56%</w:t>
        </w:r>
      </w:hyperlink>
      <w:r w:rsidRPr="00E30516">
        <w:rPr>
          <w:rFonts w:ascii="Times New Roman" w:hAnsi="Times New Roman" w:cs="Times New Roman"/>
          <w:sz w:val="28"/>
          <w:szCs w:val="28"/>
        </w:rPr>
        <w:t> дорослих у ЄС мали вище базових цифрових навичок, а  </w:t>
      </w:r>
      <w:hyperlink r:id="rId12" w:history="1">
        <w:r w:rsidRPr="00E30516">
          <w:rPr>
            <w:rStyle w:val="a3"/>
            <w:rFonts w:ascii="Times New Roman" w:hAnsi="Times New Roman" w:cs="Times New Roman"/>
            <w:sz w:val="28"/>
            <w:szCs w:val="28"/>
          </w:rPr>
          <w:t>43%</w:t>
        </w:r>
      </w:hyperlink>
      <w:r w:rsidRPr="00E30516">
        <w:rPr>
          <w:rFonts w:ascii="Times New Roman" w:hAnsi="Times New Roman" w:cs="Times New Roman"/>
          <w:sz w:val="28"/>
          <w:szCs w:val="28"/>
        </w:rPr>
        <w:t> учнів середніх шкіл у ЄС не досягли базового рівня цифрових навичок. У 2024-2025 роках  </w:t>
      </w:r>
      <w:hyperlink r:id="rId13" w:history="1">
        <w:r w:rsidRPr="00E30516">
          <w:rPr>
            <w:rStyle w:val="a3"/>
            <w:rFonts w:ascii="Times New Roman" w:hAnsi="Times New Roman" w:cs="Times New Roman"/>
            <w:sz w:val="28"/>
            <w:szCs w:val="28"/>
          </w:rPr>
          <w:t>92%</w:t>
        </w:r>
      </w:hyperlink>
      <w:r w:rsidRPr="00E30516">
        <w:rPr>
          <w:rFonts w:ascii="Times New Roman" w:hAnsi="Times New Roman" w:cs="Times New Roman"/>
          <w:sz w:val="28"/>
          <w:szCs w:val="28"/>
        </w:rPr>
        <w:t> працівників ЄС повідомляли про необхідність цифрових навичок для виконання своєї роботи, а  </w:t>
      </w:r>
      <w:hyperlink r:id="rId14" w:history="1">
        <w:r w:rsidRPr="00E30516">
          <w:rPr>
            <w:rStyle w:val="a3"/>
            <w:rFonts w:ascii="Times New Roman" w:hAnsi="Times New Roman" w:cs="Times New Roman"/>
            <w:sz w:val="28"/>
            <w:szCs w:val="28"/>
          </w:rPr>
          <w:t>30%</w:t>
        </w:r>
      </w:hyperlink>
      <w:r w:rsidRPr="00E30516">
        <w:rPr>
          <w:rFonts w:ascii="Times New Roman" w:hAnsi="Times New Roman" w:cs="Times New Roman"/>
          <w:sz w:val="28"/>
          <w:szCs w:val="28"/>
        </w:rPr>
        <w:t> використовували системи штучного інтелекту для своєї роботи. </w:t>
      </w:r>
    </w:p>
    <w:p w:rsidR="00E30516" w:rsidRPr="00E30516" w:rsidRDefault="00E30516" w:rsidP="0051365E">
      <w:pPr>
        <w:spacing w:line="360" w:lineRule="auto"/>
        <w:jc w:val="both"/>
        <w:rPr>
          <w:rFonts w:ascii="Times New Roman" w:hAnsi="Times New Roman" w:cs="Times New Roman"/>
          <w:sz w:val="28"/>
          <w:szCs w:val="28"/>
        </w:rPr>
      </w:pPr>
      <w:r w:rsidRPr="00E30516">
        <w:rPr>
          <w:rFonts w:ascii="Times New Roman" w:hAnsi="Times New Roman" w:cs="Times New Roman"/>
          <w:sz w:val="28"/>
          <w:szCs w:val="28"/>
        </w:rPr>
        <w:t xml:space="preserve">Для кого призначений </w:t>
      </w:r>
      <w:proofErr w:type="spellStart"/>
      <w:r w:rsidRPr="00E30516">
        <w:rPr>
          <w:rFonts w:ascii="Times New Roman" w:hAnsi="Times New Roman" w:cs="Times New Roman"/>
          <w:sz w:val="28"/>
          <w:szCs w:val="28"/>
        </w:rPr>
        <w:t>DigComp</w:t>
      </w:r>
      <w:proofErr w:type="spellEnd"/>
      <w:r w:rsidRPr="00E30516">
        <w:rPr>
          <w:rFonts w:ascii="Times New Roman" w:hAnsi="Times New Roman" w:cs="Times New Roman"/>
          <w:sz w:val="28"/>
          <w:szCs w:val="28"/>
        </w:rPr>
        <w:t>, як його використовують? </w:t>
      </w:r>
    </w:p>
    <w:p w:rsidR="00E30516" w:rsidRPr="00E30516" w:rsidRDefault="00E30516" w:rsidP="0051365E">
      <w:pPr>
        <w:spacing w:line="360" w:lineRule="auto"/>
        <w:jc w:val="both"/>
        <w:rPr>
          <w:rFonts w:ascii="Times New Roman" w:hAnsi="Times New Roman" w:cs="Times New Roman"/>
          <w:sz w:val="28"/>
          <w:szCs w:val="28"/>
        </w:rPr>
      </w:pPr>
      <w:proofErr w:type="spellStart"/>
      <w:r w:rsidRPr="00E30516">
        <w:rPr>
          <w:rFonts w:ascii="Times New Roman" w:hAnsi="Times New Roman" w:cs="Times New Roman"/>
          <w:sz w:val="28"/>
          <w:szCs w:val="28"/>
        </w:rPr>
        <w:t>DigComp</w:t>
      </w:r>
      <w:proofErr w:type="spellEnd"/>
      <w:r w:rsidRPr="00E30516">
        <w:rPr>
          <w:rFonts w:ascii="Times New Roman" w:hAnsi="Times New Roman" w:cs="Times New Roman"/>
          <w:sz w:val="28"/>
          <w:szCs w:val="28"/>
        </w:rPr>
        <w:t xml:space="preserve"> призначений для </w:t>
      </w:r>
      <w:r w:rsidRPr="00E30516">
        <w:rPr>
          <w:rFonts w:ascii="Times New Roman" w:hAnsi="Times New Roman" w:cs="Times New Roman"/>
          <w:b/>
          <w:bCs/>
          <w:sz w:val="28"/>
          <w:szCs w:val="28"/>
        </w:rPr>
        <w:t>організацій та окремих осіб</w:t>
      </w:r>
      <w:r w:rsidRPr="00E30516">
        <w:rPr>
          <w:rFonts w:ascii="Times New Roman" w:hAnsi="Times New Roman" w:cs="Times New Roman"/>
          <w:sz w:val="28"/>
          <w:szCs w:val="28"/>
        </w:rPr>
        <w:t> , які мають спільну мету – розуміння та визначення потреб у цифрових компетенціях і підтримку їхнього розвитку. </w:t>
      </w:r>
    </w:p>
    <w:p w:rsidR="00E30516" w:rsidRPr="00E30516" w:rsidRDefault="00E30516" w:rsidP="0051365E">
      <w:pPr>
        <w:spacing w:line="360" w:lineRule="auto"/>
        <w:jc w:val="both"/>
        <w:rPr>
          <w:rFonts w:ascii="Times New Roman" w:hAnsi="Times New Roman" w:cs="Times New Roman"/>
          <w:sz w:val="28"/>
          <w:szCs w:val="28"/>
        </w:rPr>
      </w:pPr>
      <w:r w:rsidRPr="00E30516">
        <w:rPr>
          <w:rFonts w:ascii="Times New Roman" w:hAnsi="Times New Roman" w:cs="Times New Roman"/>
          <w:sz w:val="28"/>
          <w:szCs w:val="28"/>
        </w:rPr>
        <w:t>Ця структура призначена для політиків; роботодавців та служб зайнятості; дослідників та науковців; лідерів та викладачів у сфері обов’язкової та вищої освіти, професійної освіти та навчання, а також навчання протягом усього життя; а також будь-якої особи, яка зацікавлена ​​в цифровій компетентності.</w:t>
      </w:r>
    </w:p>
    <w:p w:rsidR="00E30516" w:rsidRPr="00E30516" w:rsidRDefault="00E30516" w:rsidP="0051365E">
      <w:pPr>
        <w:spacing w:line="360" w:lineRule="auto"/>
        <w:jc w:val="both"/>
        <w:rPr>
          <w:rFonts w:ascii="Times New Roman" w:hAnsi="Times New Roman" w:cs="Times New Roman"/>
          <w:sz w:val="28"/>
          <w:szCs w:val="28"/>
        </w:rPr>
      </w:pPr>
      <w:proofErr w:type="spellStart"/>
      <w:r w:rsidRPr="00E30516">
        <w:rPr>
          <w:rFonts w:ascii="Times New Roman" w:hAnsi="Times New Roman" w:cs="Times New Roman"/>
          <w:sz w:val="28"/>
          <w:szCs w:val="28"/>
        </w:rPr>
        <w:t>DigComp</w:t>
      </w:r>
      <w:proofErr w:type="spellEnd"/>
      <w:r w:rsidRPr="00E30516">
        <w:rPr>
          <w:rFonts w:ascii="Times New Roman" w:hAnsi="Times New Roman" w:cs="Times New Roman"/>
          <w:sz w:val="28"/>
          <w:szCs w:val="28"/>
        </w:rPr>
        <w:t xml:space="preserve"> </w:t>
      </w:r>
      <w:r w:rsidRPr="00E30516">
        <w:rPr>
          <w:rFonts w:ascii="Times New Roman" w:hAnsi="Times New Roman" w:cs="Times New Roman"/>
          <w:sz w:val="28"/>
          <w:szCs w:val="28"/>
        </w:rPr>
        <w:t>вже  </w:t>
      </w:r>
      <w:hyperlink r:id="rId15" w:history="1">
        <w:r w:rsidRPr="00E30516">
          <w:rPr>
            <w:rStyle w:val="a3"/>
            <w:rFonts w:ascii="Times New Roman" w:hAnsi="Times New Roman" w:cs="Times New Roman"/>
            <w:sz w:val="28"/>
            <w:szCs w:val="28"/>
          </w:rPr>
          <w:t>широко використовується</w:t>
        </w:r>
      </w:hyperlink>
      <w:r w:rsidRPr="00E30516">
        <w:rPr>
          <w:rFonts w:ascii="Times New Roman" w:hAnsi="Times New Roman" w:cs="Times New Roman"/>
          <w:sz w:val="28"/>
          <w:szCs w:val="28"/>
        </w:rPr>
        <w:t> в</w:t>
      </w:r>
      <w:r w:rsidRPr="00E30516">
        <w:rPr>
          <w:rFonts w:ascii="Times New Roman" w:hAnsi="Times New Roman" w:cs="Times New Roman"/>
          <w:sz w:val="28"/>
          <w:szCs w:val="28"/>
        </w:rPr>
        <w:t xml:space="preserve"> Європі та на міжнародному рівні. Він забезпечує спільне, загальне розуміння цифрової компетентності. Оскільки це технологічно нейтральна та не </w:t>
      </w:r>
      <w:proofErr w:type="spellStart"/>
      <w:r w:rsidRPr="00E30516">
        <w:rPr>
          <w:rFonts w:ascii="Times New Roman" w:hAnsi="Times New Roman" w:cs="Times New Roman"/>
          <w:sz w:val="28"/>
          <w:szCs w:val="28"/>
        </w:rPr>
        <w:t>предписальна</w:t>
      </w:r>
      <w:proofErr w:type="spellEnd"/>
      <w:r w:rsidRPr="00E30516">
        <w:rPr>
          <w:rFonts w:ascii="Times New Roman" w:hAnsi="Times New Roman" w:cs="Times New Roman"/>
          <w:sz w:val="28"/>
          <w:szCs w:val="28"/>
        </w:rPr>
        <w:t xml:space="preserve"> структура, вона розроблена для використання та адаптації для різних цілей – наприклад, для інформування про розробку політики щодо цифрової освіти та цифрових навичок; розробки оцінювань; підвищення прозорості або порівнянності освітніх та навчальних курсів; визнання або підтвердження навчання (наприклад, через сертифікацію цифрових навичок); та визначення профілів цифрової компетентності для конкретних робочих місць або посад.</w:t>
      </w:r>
    </w:p>
    <w:p w:rsidR="003276F5" w:rsidRPr="003276F5" w:rsidRDefault="003276F5" w:rsidP="0051365E">
      <w:pPr>
        <w:spacing w:line="360" w:lineRule="auto"/>
        <w:jc w:val="both"/>
        <w:rPr>
          <w:rFonts w:ascii="Times New Roman" w:hAnsi="Times New Roman" w:cs="Times New Roman"/>
          <w:sz w:val="28"/>
          <w:szCs w:val="28"/>
        </w:rPr>
      </w:pPr>
      <w:proofErr w:type="spellStart"/>
      <w:r w:rsidRPr="003276F5">
        <w:rPr>
          <w:rFonts w:ascii="Times New Roman" w:hAnsi="Times New Roman" w:cs="Times New Roman"/>
          <w:sz w:val="28"/>
          <w:szCs w:val="28"/>
        </w:rPr>
        <w:t>DigComp</w:t>
      </w:r>
      <w:proofErr w:type="spellEnd"/>
      <w:r w:rsidRPr="003276F5">
        <w:rPr>
          <w:rFonts w:ascii="Times New Roman" w:hAnsi="Times New Roman" w:cs="Times New Roman"/>
          <w:sz w:val="28"/>
          <w:szCs w:val="28"/>
        </w:rPr>
        <w:t xml:space="preserve"> 3.0 – це п’ята версія Європейської рамки цифрової компетентності. Вона включає останні та новітні тенденції цифрових технологій та їхній вплив на цифрову компетентність, зберігаючи при цьому загальну стабільність та технологічну нейтральність рамки.</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 xml:space="preserve">Що нового в </w:t>
      </w:r>
      <w:proofErr w:type="spellStart"/>
      <w:r w:rsidRPr="003276F5">
        <w:rPr>
          <w:rFonts w:ascii="Times New Roman" w:hAnsi="Times New Roman" w:cs="Times New Roman"/>
          <w:sz w:val="28"/>
          <w:szCs w:val="28"/>
        </w:rPr>
        <w:t>DigComp</w:t>
      </w:r>
      <w:proofErr w:type="spellEnd"/>
      <w:r w:rsidRPr="003276F5">
        <w:rPr>
          <w:rFonts w:ascii="Times New Roman" w:hAnsi="Times New Roman" w:cs="Times New Roman"/>
          <w:sz w:val="28"/>
          <w:szCs w:val="28"/>
        </w:rPr>
        <w:t xml:space="preserve"> 3.0?</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 xml:space="preserve">У </w:t>
      </w:r>
      <w:proofErr w:type="spellStart"/>
      <w:r w:rsidRPr="003276F5">
        <w:rPr>
          <w:rFonts w:ascii="Times New Roman" w:hAnsi="Times New Roman" w:cs="Times New Roman"/>
          <w:sz w:val="28"/>
          <w:szCs w:val="28"/>
        </w:rPr>
        <w:t>DigComp</w:t>
      </w:r>
      <w:proofErr w:type="spellEnd"/>
      <w:r w:rsidRPr="003276F5">
        <w:rPr>
          <w:rFonts w:ascii="Times New Roman" w:hAnsi="Times New Roman" w:cs="Times New Roman"/>
          <w:sz w:val="28"/>
          <w:szCs w:val="28"/>
        </w:rPr>
        <w:t xml:space="preserve"> 3.0, порівняно з попередньою версією, є:</w:t>
      </w:r>
    </w:p>
    <w:p w:rsidR="003276F5" w:rsidRPr="003276F5" w:rsidRDefault="003276F5" w:rsidP="0051365E">
      <w:pPr>
        <w:numPr>
          <w:ilvl w:val="0"/>
          <w:numId w:val="1"/>
        </w:num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Жодних змін у загальній структурі фреймворку</w:t>
      </w:r>
    </w:p>
    <w:p w:rsidR="003276F5" w:rsidRPr="003276F5" w:rsidRDefault="003276F5" w:rsidP="0051365E">
      <w:pPr>
        <w:numPr>
          <w:ilvl w:val="0"/>
          <w:numId w:val="1"/>
        </w:num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Оновлення формулювань галузей компетенцій та компетенцій</w:t>
      </w:r>
    </w:p>
    <w:p w:rsidR="003276F5" w:rsidRPr="003276F5" w:rsidRDefault="003276F5" w:rsidP="0051365E">
      <w:pPr>
        <w:numPr>
          <w:ilvl w:val="0"/>
          <w:numId w:val="1"/>
        </w:num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Переглянуті рівні володіння мовою</w:t>
      </w:r>
    </w:p>
    <w:p w:rsidR="003276F5" w:rsidRPr="003276F5" w:rsidRDefault="003276F5" w:rsidP="0051365E">
      <w:pPr>
        <w:numPr>
          <w:ilvl w:val="0"/>
          <w:numId w:val="1"/>
        </w:num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Нові результати навчання</w:t>
      </w:r>
    </w:p>
    <w:p w:rsidR="003276F5" w:rsidRPr="003276F5" w:rsidRDefault="003276F5" w:rsidP="0051365E">
      <w:pPr>
        <w:numPr>
          <w:ilvl w:val="0"/>
          <w:numId w:val="1"/>
        </w:num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Перехресна інтеграція компетенцій у сфері штучного інтелекту</w:t>
      </w:r>
    </w:p>
    <w:p w:rsidR="003276F5" w:rsidRPr="003276F5" w:rsidRDefault="003276F5" w:rsidP="0051365E">
      <w:pPr>
        <w:numPr>
          <w:ilvl w:val="0"/>
          <w:numId w:val="1"/>
        </w:num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Розширений глосарій, який пояснює використані слова та терміни</w:t>
      </w:r>
    </w:p>
    <w:p w:rsidR="003276F5" w:rsidRPr="003276F5" w:rsidRDefault="003276F5" w:rsidP="0051365E">
      <w:pPr>
        <w:numPr>
          <w:ilvl w:val="0"/>
          <w:numId w:val="1"/>
        </w:num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Різні формати для легшого налаштування та адаптації фреймворку.</w:t>
      </w:r>
    </w:p>
    <w:p w:rsidR="003276F5" w:rsidRPr="0051365E" w:rsidRDefault="003276F5" w:rsidP="0051365E">
      <w:pPr>
        <w:spacing w:line="360" w:lineRule="auto"/>
        <w:jc w:val="both"/>
        <w:rPr>
          <w:rFonts w:ascii="Times New Roman" w:hAnsi="Times New Roman" w:cs="Times New Roman"/>
          <w:sz w:val="28"/>
          <w:szCs w:val="28"/>
        </w:rPr>
      </w:pPr>
      <w:r w:rsidRPr="0051365E">
        <w:rPr>
          <w:rFonts w:ascii="Times New Roman" w:hAnsi="Times New Roman" w:cs="Times New Roman"/>
          <w:sz w:val="28"/>
          <w:szCs w:val="28"/>
        </w:rPr>
        <w:t xml:space="preserve">Розробка </w:t>
      </w:r>
      <w:proofErr w:type="spellStart"/>
      <w:r w:rsidRPr="0051365E">
        <w:rPr>
          <w:rFonts w:ascii="Times New Roman" w:hAnsi="Times New Roman" w:cs="Times New Roman"/>
          <w:sz w:val="28"/>
          <w:szCs w:val="28"/>
        </w:rPr>
        <w:t>DigComp</w:t>
      </w:r>
      <w:proofErr w:type="spellEnd"/>
      <w:r w:rsidRPr="0051365E">
        <w:rPr>
          <w:rFonts w:ascii="Times New Roman" w:hAnsi="Times New Roman" w:cs="Times New Roman"/>
          <w:sz w:val="28"/>
          <w:szCs w:val="28"/>
        </w:rPr>
        <w:t xml:space="preserve"> 3.0 </w:t>
      </w:r>
    </w:p>
    <w:p w:rsidR="003276F5" w:rsidRPr="0051365E" w:rsidRDefault="003276F5" w:rsidP="0051365E">
      <w:pPr>
        <w:spacing w:line="360" w:lineRule="auto"/>
        <w:jc w:val="both"/>
        <w:rPr>
          <w:rFonts w:ascii="Times New Roman" w:hAnsi="Times New Roman" w:cs="Times New Roman"/>
          <w:sz w:val="28"/>
          <w:szCs w:val="28"/>
        </w:rPr>
      </w:pPr>
      <w:proofErr w:type="spellStart"/>
      <w:r w:rsidRPr="0051365E">
        <w:rPr>
          <w:rFonts w:ascii="Times New Roman" w:hAnsi="Times New Roman" w:cs="Times New Roman"/>
          <w:sz w:val="28"/>
          <w:szCs w:val="28"/>
        </w:rPr>
        <w:t>DigComp</w:t>
      </w:r>
      <w:proofErr w:type="spellEnd"/>
      <w:r w:rsidRPr="0051365E">
        <w:rPr>
          <w:rFonts w:ascii="Times New Roman" w:hAnsi="Times New Roman" w:cs="Times New Roman"/>
          <w:sz w:val="28"/>
          <w:szCs w:val="28"/>
        </w:rPr>
        <w:t xml:space="preserve"> 3.0 було розроблено за участю понад 300 осіб та організацій з усієї Європи та за її межами, чия робота пов’язана з цифровою компетентністю, включаючи політиків, роботодавців, освітян та дослідників.  </w:t>
      </w:r>
    </w:p>
    <w:p w:rsidR="003276F5" w:rsidRPr="0051365E" w:rsidRDefault="003276F5" w:rsidP="0051365E">
      <w:pPr>
        <w:spacing w:line="360" w:lineRule="auto"/>
        <w:jc w:val="both"/>
        <w:rPr>
          <w:rFonts w:ascii="Times New Roman" w:hAnsi="Times New Roman" w:cs="Times New Roman"/>
          <w:sz w:val="28"/>
          <w:szCs w:val="28"/>
        </w:rPr>
      </w:pPr>
    </w:p>
    <w:p w:rsidR="00E30516" w:rsidRPr="0051365E" w:rsidRDefault="003276F5" w:rsidP="0051365E">
      <w:pPr>
        <w:spacing w:line="360" w:lineRule="auto"/>
        <w:jc w:val="both"/>
        <w:rPr>
          <w:rFonts w:ascii="Times New Roman" w:hAnsi="Times New Roman" w:cs="Times New Roman"/>
          <w:sz w:val="28"/>
          <w:szCs w:val="28"/>
        </w:rPr>
      </w:pPr>
      <w:r w:rsidRPr="0051365E">
        <w:rPr>
          <w:rFonts w:ascii="Times New Roman" w:hAnsi="Times New Roman" w:cs="Times New Roman"/>
          <w:sz w:val="28"/>
          <w:szCs w:val="28"/>
        </w:rPr>
        <w:t xml:space="preserve">Розробку </w:t>
      </w:r>
      <w:proofErr w:type="spellStart"/>
      <w:r w:rsidRPr="0051365E">
        <w:rPr>
          <w:rFonts w:ascii="Times New Roman" w:hAnsi="Times New Roman" w:cs="Times New Roman"/>
          <w:sz w:val="28"/>
          <w:szCs w:val="28"/>
        </w:rPr>
        <w:t>DigComp</w:t>
      </w:r>
      <w:proofErr w:type="spellEnd"/>
      <w:r w:rsidRPr="0051365E">
        <w:rPr>
          <w:rFonts w:ascii="Times New Roman" w:hAnsi="Times New Roman" w:cs="Times New Roman"/>
          <w:sz w:val="28"/>
          <w:szCs w:val="28"/>
        </w:rPr>
        <w:t xml:space="preserve"> 3.0 було зосереджено на кількох пріоритетних темах, що стосуються того, з чого складається цифрова компетентність ( зміст ), як ця структура адаптується, використовується та яка її роль у системах освіти, навчання та зайнятості ( застосування ).</w:t>
      </w:r>
    </w:p>
    <w:p w:rsidR="003276F5" w:rsidRPr="0051365E" w:rsidRDefault="003276F5" w:rsidP="0051365E">
      <w:pPr>
        <w:spacing w:line="360" w:lineRule="auto"/>
        <w:jc w:val="both"/>
        <w:rPr>
          <w:rFonts w:ascii="Times New Roman" w:hAnsi="Times New Roman" w:cs="Times New Roman"/>
          <w:sz w:val="28"/>
          <w:szCs w:val="28"/>
        </w:rPr>
      </w:pPr>
    </w:p>
    <w:p w:rsidR="003276F5" w:rsidRPr="003276F5" w:rsidRDefault="003276F5" w:rsidP="0051365E">
      <w:pPr>
        <w:spacing w:line="360" w:lineRule="auto"/>
        <w:jc w:val="both"/>
        <w:rPr>
          <w:rFonts w:ascii="Times New Roman" w:hAnsi="Times New Roman" w:cs="Times New Roman"/>
          <w:sz w:val="28"/>
          <w:szCs w:val="28"/>
        </w:rPr>
      </w:pPr>
      <w:r w:rsidRPr="0051365E">
        <w:rPr>
          <w:rFonts w:ascii="Times New Roman" w:hAnsi="Times New Roman" w:cs="Times New Roman"/>
          <w:sz w:val="28"/>
          <w:szCs w:val="28"/>
        </w:rPr>
        <w:t>Т</w:t>
      </w:r>
      <w:r w:rsidRPr="003276F5">
        <w:rPr>
          <w:rFonts w:ascii="Times New Roman" w:hAnsi="Times New Roman" w:cs="Times New Roman"/>
          <w:sz w:val="28"/>
          <w:szCs w:val="28"/>
        </w:rPr>
        <w:t>еми контенту</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Компетентність у сфері штучного інтелекту (включаючи генеративний ШІ)</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 xml:space="preserve">Компетентність у сфері </w:t>
      </w:r>
      <w:proofErr w:type="spellStart"/>
      <w:r w:rsidRPr="003276F5">
        <w:rPr>
          <w:rFonts w:ascii="Times New Roman" w:hAnsi="Times New Roman" w:cs="Times New Roman"/>
          <w:sz w:val="28"/>
          <w:szCs w:val="28"/>
        </w:rPr>
        <w:t>кібербезпеки</w:t>
      </w:r>
      <w:proofErr w:type="spellEnd"/>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Цифрові права, вибір та обов'язки</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Благополуччя в цифровому середовищі</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Компетентність у боротьбі з дезінформацією та неправдивою інформацією</w:t>
      </w:r>
    </w:p>
    <w:p w:rsidR="003276F5" w:rsidRPr="0051365E" w:rsidRDefault="003276F5" w:rsidP="0051365E">
      <w:pPr>
        <w:spacing w:line="360" w:lineRule="auto"/>
        <w:jc w:val="both"/>
        <w:rPr>
          <w:rFonts w:ascii="Times New Roman" w:hAnsi="Times New Roman" w:cs="Times New Roman"/>
          <w:sz w:val="28"/>
          <w:szCs w:val="28"/>
        </w:rPr>
      </w:pP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Теми застосунків</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Цифрова компетентність як ключова частина навчання протягом усього життя</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Визнання передумов для набуття цифрової компетентності базового рівня</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Визнання відмінностей у потребах у цифровій компетентності між окремими особами та з плином часу</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Потреба в гнучких, спритних застосуваннях фреймворку</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Визначення цифрової компетентності</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Цифрова компетентність поєднує знання, навички та ставлення. </w:t>
      </w:r>
    </w:p>
    <w:p w:rsidR="003276F5" w:rsidRPr="003276F5" w:rsidRDefault="003276F5" w:rsidP="0051365E">
      <w:pPr>
        <w:spacing w:line="360" w:lineRule="auto"/>
        <w:jc w:val="both"/>
        <w:rPr>
          <w:rFonts w:ascii="Times New Roman" w:hAnsi="Times New Roman" w:cs="Times New Roman"/>
          <w:sz w:val="28"/>
          <w:szCs w:val="28"/>
        </w:rPr>
      </w:pPr>
      <w:r w:rsidRPr="003276F5">
        <w:rPr>
          <w:rFonts w:ascii="Times New Roman" w:hAnsi="Times New Roman" w:cs="Times New Roman"/>
          <w:sz w:val="28"/>
          <w:szCs w:val="28"/>
        </w:rPr>
        <w:t>Це </w:t>
      </w:r>
      <w:r w:rsidRPr="003276F5">
        <w:rPr>
          <w:rFonts w:ascii="Times New Roman" w:hAnsi="Times New Roman" w:cs="Times New Roman"/>
          <w:i/>
          <w:iCs/>
          <w:sz w:val="28"/>
          <w:szCs w:val="28"/>
        </w:rPr>
        <w:t xml:space="preserve">впевнене, критичне та відповідальне використання цифрових технологій та взаємодія з ними для навчання, роботи та участі в житті суспільства. Це включає інформаційну та інформаційну грамотність, комунікацію та співпрацю, </w:t>
      </w:r>
      <w:proofErr w:type="spellStart"/>
      <w:r w:rsidRPr="003276F5">
        <w:rPr>
          <w:rFonts w:ascii="Times New Roman" w:hAnsi="Times New Roman" w:cs="Times New Roman"/>
          <w:i/>
          <w:iCs/>
          <w:sz w:val="28"/>
          <w:szCs w:val="28"/>
        </w:rPr>
        <w:t>медіаграмотність</w:t>
      </w:r>
      <w:proofErr w:type="spellEnd"/>
      <w:r w:rsidRPr="003276F5">
        <w:rPr>
          <w:rFonts w:ascii="Times New Roman" w:hAnsi="Times New Roman" w:cs="Times New Roman"/>
          <w:i/>
          <w:iCs/>
          <w:sz w:val="28"/>
          <w:szCs w:val="28"/>
        </w:rPr>
        <w:t xml:space="preserve">, створення цифрового контенту (включаючи програмування), безпеку (включаючи цифрове благополуччя та компетенції, пов'язані з </w:t>
      </w:r>
      <w:proofErr w:type="spellStart"/>
      <w:r w:rsidRPr="003276F5">
        <w:rPr>
          <w:rFonts w:ascii="Times New Roman" w:hAnsi="Times New Roman" w:cs="Times New Roman"/>
          <w:i/>
          <w:iCs/>
          <w:sz w:val="28"/>
          <w:szCs w:val="28"/>
        </w:rPr>
        <w:t>кібербезпекою</w:t>
      </w:r>
      <w:proofErr w:type="spellEnd"/>
      <w:r w:rsidRPr="003276F5">
        <w:rPr>
          <w:rFonts w:ascii="Times New Roman" w:hAnsi="Times New Roman" w:cs="Times New Roman"/>
          <w:i/>
          <w:iCs/>
          <w:sz w:val="28"/>
          <w:szCs w:val="28"/>
        </w:rPr>
        <w:t>), питання, пов'язані з інтелектуальною власністю, вирішення проблем та критичне мислення</w:t>
      </w:r>
      <w:r w:rsidRPr="003276F5">
        <w:rPr>
          <w:rFonts w:ascii="Times New Roman" w:hAnsi="Times New Roman" w:cs="Times New Roman"/>
          <w:sz w:val="28"/>
          <w:szCs w:val="28"/>
        </w:rPr>
        <w:t> . ( </w:t>
      </w:r>
      <w:hyperlink r:id="rId16" w:history="1">
        <w:r w:rsidRPr="003276F5">
          <w:rPr>
            <w:rStyle w:val="a3"/>
            <w:rFonts w:ascii="Times New Roman" w:hAnsi="Times New Roman" w:cs="Times New Roman"/>
            <w:sz w:val="28"/>
            <w:szCs w:val="28"/>
          </w:rPr>
          <w:t>Європейська комісія, 2018</w:t>
        </w:r>
      </w:hyperlink>
      <w:r w:rsidRPr="003276F5">
        <w:rPr>
          <w:rFonts w:ascii="Times New Roman" w:hAnsi="Times New Roman" w:cs="Times New Roman"/>
          <w:sz w:val="28"/>
          <w:szCs w:val="28"/>
        </w:rPr>
        <w:t> , с. 9)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Галузі компетенцій та компетенції </w:t>
      </w:r>
      <w:proofErr w:type="spellStart"/>
      <w:r w:rsidRPr="0051365E">
        <w:rPr>
          <w:sz w:val="28"/>
          <w:szCs w:val="28"/>
        </w:rPr>
        <w:t>DigComp</w:t>
      </w:r>
      <w:proofErr w:type="spellEnd"/>
      <w:r w:rsidRPr="0051365E">
        <w:rPr>
          <w:sz w:val="28"/>
          <w:szCs w:val="28"/>
        </w:rPr>
        <w:t xml:space="preserve"> 3.0 має п'ять тематичних областей компетенції, які називаються « областями компетенцій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Ви можете ознайомитися з кожною з п'яти областей компетенцій </w:t>
      </w:r>
      <w:proofErr w:type="spellStart"/>
      <w:r w:rsidRPr="0051365E">
        <w:rPr>
          <w:sz w:val="28"/>
          <w:szCs w:val="28"/>
        </w:rPr>
        <w:t>DigComp</w:t>
      </w:r>
      <w:proofErr w:type="spellEnd"/>
      <w:r w:rsidRPr="0051365E">
        <w:rPr>
          <w:sz w:val="28"/>
          <w:szCs w:val="28"/>
        </w:rPr>
        <w:t xml:space="preserve"> та дізнатися більше про кожну з 21 компетенцій </w:t>
      </w:r>
      <w:proofErr w:type="spellStart"/>
      <w:r w:rsidRPr="0051365E">
        <w:rPr>
          <w:sz w:val="28"/>
          <w:szCs w:val="28"/>
        </w:rPr>
        <w:t>DigComp</w:t>
      </w:r>
      <w:proofErr w:type="spellEnd"/>
      <w:r w:rsidRPr="0051365E">
        <w:rPr>
          <w:sz w:val="28"/>
          <w:szCs w:val="28"/>
        </w:rPr>
        <w:t>.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Галузь компетенції 1: Пошук, оцінка та управління інформацією Формулювати інформаційні потреби, а також шукати, знаходити та отримувати цифрову інформацію та контент. Оцінювати </w:t>
      </w:r>
      <w:proofErr w:type="spellStart"/>
      <w:r w:rsidRPr="0051365E">
        <w:rPr>
          <w:sz w:val="28"/>
          <w:szCs w:val="28"/>
        </w:rPr>
        <w:t>релевантність</w:t>
      </w:r>
      <w:proofErr w:type="spellEnd"/>
      <w:r w:rsidRPr="0051365E">
        <w:rPr>
          <w:sz w:val="28"/>
          <w:szCs w:val="28"/>
        </w:rPr>
        <w:t xml:space="preserve"> джерела та його контенту в цифровому середовищі. Критично оцінювати цифрові джерела, контент та процеси, що використовуються для їх створення. Зберігати, керувати, організовувати та аналізувати цифрову інформацію та дані.</w:t>
      </w:r>
    </w:p>
    <w:p w:rsidR="003276F5" w:rsidRPr="0051365E" w:rsidRDefault="003276F5" w:rsidP="0051365E">
      <w:pPr>
        <w:pStyle w:val="a6"/>
        <w:spacing w:after="0" w:afterAutospacing="0" w:line="360" w:lineRule="auto"/>
        <w:jc w:val="both"/>
        <w:rPr>
          <w:sz w:val="28"/>
          <w:szCs w:val="28"/>
        </w:rPr>
      </w:pPr>
      <w:r w:rsidRPr="0051365E">
        <w:rPr>
          <w:sz w:val="28"/>
          <w:szCs w:val="28"/>
        </w:rPr>
        <w:t>Компетентність 1.1: Перегляд, пошук та фільтрація інформації   Формулювати інформаційні потреби, знати, як і де шукати інформацію та контент у цифровому середовищі, а також отримувати доступ до них та орієнтуватися між ними. Вибирати відповідні цифрові інструменти для створення, впровадження та оновлення пошукових запитів у цифровому середовищі та вміти розрізняти релевантну та нерелевантну інформацію та контент.  Компетентність 1.2: Оцінювання інформації  Оцінювати та порівнювати достовірність і надійність джерел інформації та контенту в цифрових середовищах. Інтерпретувати та критично оцінювати інформацію та контент у цифрових середовищах, а також процеси, що використовуються для їх створення.  Компетентність 1.3: Управління інформацією  Організовувати, зберігати та отримувати інформацію й дані в цифрових середовищах. Збирати, обробляти та аналізувати інформацію й дані в структурованих цифрових середовищах.   </w:t>
      </w:r>
    </w:p>
    <w:p w:rsidR="003276F5" w:rsidRPr="0051365E" w:rsidRDefault="003276F5" w:rsidP="0051365E">
      <w:pPr>
        <w:pStyle w:val="a6"/>
        <w:spacing w:after="0" w:afterAutospacing="0" w:line="360" w:lineRule="auto"/>
        <w:jc w:val="both"/>
        <w:rPr>
          <w:sz w:val="28"/>
          <w:szCs w:val="28"/>
        </w:rPr>
      </w:pPr>
      <w:r w:rsidRPr="0051365E">
        <w:rPr>
          <w:sz w:val="28"/>
          <w:szCs w:val="28"/>
        </w:rPr>
        <w:t>Галузь компетенції 2: Комунікація та співпраця Взаємодіяти, ділитися, спілкуватися та співпрацювати в цифровому середовищі, усвідомлюючи культурне, поколінне та інше різноманіття, а також особливості та обмеження цифрових технологій. Брати участь у житті суспільства за допомогою цифрових технологій. Відстоювати свої права та здійснювати вибір у цифровому середовищі. Керувати своєю цифровою присутністю, ідентичністю та репутацією.</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Компетентність 2.1: Взаємодія за допомогою цифрових технологій та з ними   Взаємодіяти за допомогою різноманітних цифрових технологій та використовувати відповідну цифрову комунікацію для певного контексту.  Компетентність 2.2: Обмін інформацією за допомогою цифрових технологій   Етично та </w:t>
      </w:r>
      <w:proofErr w:type="spellStart"/>
      <w:r w:rsidRPr="0051365E">
        <w:rPr>
          <w:sz w:val="28"/>
          <w:szCs w:val="28"/>
        </w:rPr>
        <w:t>відповідально</w:t>
      </w:r>
      <w:proofErr w:type="spellEnd"/>
      <w:r w:rsidRPr="0051365E">
        <w:rPr>
          <w:sz w:val="28"/>
          <w:szCs w:val="28"/>
        </w:rPr>
        <w:t xml:space="preserve"> ділитися інформацією та контентом з іншими за допомогою відповідних цифрових технологій.  Компетентність 2.3: Залучення до громадянської діяльності за допомогою цифрових технологій   Брати участь у житті суспільства через етичне та відповідальне використання цифрових платформ і послуг. Шукати можливості для самореалізації та участі за допомогою відповідних цифрових технологій. Бути обізнаним зі своїми правами та відстоювати їх, а також здійснювати вибір у цифровому середовищі.  Компетентність 2.4: Співпраця за допомогою цифрових технологій   Етично та </w:t>
      </w:r>
      <w:proofErr w:type="spellStart"/>
      <w:r w:rsidRPr="0051365E">
        <w:rPr>
          <w:sz w:val="28"/>
          <w:szCs w:val="28"/>
        </w:rPr>
        <w:t>відповідально</w:t>
      </w:r>
      <w:proofErr w:type="spellEnd"/>
      <w:r w:rsidRPr="0051365E">
        <w:rPr>
          <w:sz w:val="28"/>
          <w:szCs w:val="28"/>
        </w:rPr>
        <w:t xml:space="preserve"> використовувати цифрові технології для спільної роботи, а також для спільного конструювання та створення інформації, ресурсів та знань.  Компетентність 2.5: Цифрова поведінка  Бути обізнаним з нормами поведінки та знати, як поводитися з повагою під час використання цифрових технологій та взаємодії в цифровому середовищі. Адаптувати комунікацію до конкретних контекстів, а також усвідомлювати та поважати культурне, </w:t>
      </w:r>
      <w:proofErr w:type="spellStart"/>
      <w:r w:rsidRPr="0051365E">
        <w:rPr>
          <w:sz w:val="28"/>
          <w:szCs w:val="28"/>
        </w:rPr>
        <w:t>поколіннєве</w:t>
      </w:r>
      <w:proofErr w:type="spellEnd"/>
      <w:r w:rsidRPr="0051365E">
        <w:rPr>
          <w:sz w:val="28"/>
          <w:szCs w:val="28"/>
        </w:rPr>
        <w:t xml:space="preserve"> та інше розмаїття в цифровому середовищі.  Компетентність 2.6: Управління цифровою ідентичністю   Керувати однією або кількома цифровими ідентифікаторами. Вживати заходів для захисту власної цифрової репутації (як людину сприймають на основі її присутності в Інтернеті) та керувати власним цифровим слідом (даними, що створюються в результаті використання цифрових платформ і послуг). </w:t>
      </w:r>
    </w:p>
    <w:p w:rsidR="003276F5" w:rsidRPr="0051365E" w:rsidRDefault="003276F5" w:rsidP="0051365E">
      <w:pPr>
        <w:pStyle w:val="a6"/>
        <w:spacing w:after="0" w:afterAutospacing="0" w:line="360" w:lineRule="auto"/>
        <w:jc w:val="both"/>
        <w:rPr>
          <w:sz w:val="28"/>
          <w:szCs w:val="28"/>
        </w:rPr>
      </w:pPr>
      <w:r w:rsidRPr="0051365E">
        <w:rPr>
          <w:sz w:val="28"/>
          <w:szCs w:val="28"/>
        </w:rPr>
        <w:t>Галузь компетенції 3: Створення контенту Створювати та редагувати цифровий контент. Покращувати та інтегрувати інформацію й контент у існуючий корпус знань, розуміючи, як слід застосовувати авторське право та ліцензії, застосовуючи етичний та відповідальний підхід до створення, вдосконалення та інтеграції цифрового контенту. Знати, як застосовувати обчислювальне мислення та методи програмування для надання інструкцій комп'ютерній системі.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Компетентність 3.1: Розробка цифрового контенту   Етично та </w:t>
      </w:r>
      <w:proofErr w:type="spellStart"/>
      <w:r w:rsidRPr="0051365E">
        <w:rPr>
          <w:sz w:val="28"/>
          <w:szCs w:val="28"/>
        </w:rPr>
        <w:t>відповідально</w:t>
      </w:r>
      <w:proofErr w:type="spellEnd"/>
      <w:r w:rsidRPr="0051365E">
        <w:rPr>
          <w:sz w:val="28"/>
          <w:szCs w:val="28"/>
        </w:rPr>
        <w:t xml:space="preserve"> використовувати цифрові технології для створення та редагування різноманітного контенту. Виражати себе за допомогою цифрових засобів.  Компетентність 3.2: Інтеграція та переробка цифрового контенту  Змінювати, удосконалювати та інтегрувати нову інформацію та контент у існуючі знання та ресурси для створення нового та оригінального контенту та знань.  Компетентність 3.3: Авторське право та ліцензії   Зрозуміти, як авторське право та ліцензії, а також пов'язані з ними правові та етичні питання, застосовуються до цифрового контенту, та як їх правильно застосовувати.  Компетентність 3.4: Обчислювальне мислення та програмування   Розуміти та впроваджувати кроки для аналізу проблеми, розпізнавати </w:t>
      </w:r>
      <w:proofErr w:type="spellStart"/>
      <w:r w:rsidRPr="0051365E">
        <w:rPr>
          <w:sz w:val="28"/>
          <w:szCs w:val="28"/>
        </w:rPr>
        <w:t>підпроблеми</w:t>
      </w:r>
      <w:proofErr w:type="spellEnd"/>
      <w:r w:rsidRPr="0051365E">
        <w:rPr>
          <w:sz w:val="28"/>
          <w:szCs w:val="28"/>
        </w:rPr>
        <w:t>, а також планувати та розробляти послідовність інструкцій для обчислювальної системи для вирішення заданої проблеми або виконання певного завдання.  </w:t>
      </w:r>
    </w:p>
    <w:p w:rsidR="003276F5" w:rsidRPr="0051365E" w:rsidRDefault="003276F5" w:rsidP="0051365E">
      <w:pPr>
        <w:pStyle w:val="a6"/>
        <w:spacing w:after="0" w:afterAutospacing="0" w:line="360" w:lineRule="auto"/>
        <w:jc w:val="both"/>
        <w:rPr>
          <w:sz w:val="28"/>
          <w:szCs w:val="28"/>
        </w:rPr>
      </w:pPr>
      <w:r w:rsidRPr="0051365E">
        <w:rPr>
          <w:sz w:val="28"/>
          <w:szCs w:val="28"/>
        </w:rPr>
        <w:t>Галузь компетенції 4: Безпека, добробут та відповідальне використання Захищати пристрої, контент, персональні дані та конфіденційність у цифровому середовищі. Підтримувати фізичне, психічне та соціальне благополуччя себе та інших, а також усвідомлювати переваги та ризики цифрових технологій для благополуччя та соціальної інтеграції. Бути обізнаним про вплив цифрових технологій на навколишнє середовище та їх використання, вживати заходів для зменшення такого впливу та використовувати цифрові технології для підтримки сталого розвитку.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Компетентність 4.1: Захист пристроїв   Застосовувати заходи безпеки та </w:t>
      </w:r>
      <w:proofErr w:type="spellStart"/>
      <w:r w:rsidRPr="0051365E">
        <w:rPr>
          <w:sz w:val="28"/>
          <w:szCs w:val="28"/>
        </w:rPr>
        <w:t>кібербезпеки</w:t>
      </w:r>
      <w:proofErr w:type="spellEnd"/>
      <w:r w:rsidRPr="0051365E">
        <w:rPr>
          <w:sz w:val="28"/>
          <w:szCs w:val="28"/>
        </w:rPr>
        <w:t xml:space="preserve"> для захисту цифрових пристроїв та контенту. Бути обізнаним з мінливим характером ризиків та загроз у цифровому середовищі та належним чином враховувати безпеку цифрових пристроїв та їхнього вмісту.  Компетентність 4.2: Захист персональних даних та конфіденційності   Бути в курсі своїх прав щодо персональних даних та конфіденційності в цифровому середовищі та здійснювати їх. Оцінювати та керувати ризиками конфіденційності, а також захищати персональні дані та конфіденційність у цифровому середовищі. Використовувати та поширювати власні та чужі персональні дані безпечно, етично та </w:t>
      </w:r>
      <w:proofErr w:type="spellStart"/>
      <w:r w:rsidRPr="0051365E">
        <w:rPr>
          <w:sz w:val="28"/>
          <w:szCs w:val="28"/>
        </w:rPr>
        <w:t>відповідально</w:t>
      </w:r>
      <w:proofErr w:type="spellEnd"/>
      <w:r w:rsidRPr="0051365E">
        <w:rPr>
          <w:sz w:val="28"/>
          <w:szCs w:val="28"/>
        </w:rPr>
        <w:t xml:space="preserve">.   Компетентність 4.3: Підтримка благополуччя  Використовувати цифрові технології таким чином, щоб підтримувати благополуччя та інклюзію. Мінімізувати ризики та загрози для фізичного, психічного та соціального благополуччя себе та інших під час використання цифрових технологій. Збалансувати використання цифрових технологій з </w:t>
      </w:r>
      <w:proofErr w:type="spellStart"/>
      <w:r w:rsidRPr="0051365E">
        <w:rPr>
          <w:sz w:val="28"/>
          <w:szCs w:val="28"/>
        </w:rPr>
        <w:t>офлайн</w:t>
      </w:r>
      <w:proofErr w:type="spellEnd"/>
      <w:r w:rsidRPr="0051365E">
        <w:rPr>
          <w:sz w:val="28"/>
          <w:szCs w:val="28"/>
        </w:rPr>
        <w:t xml:space="preserve">-діяльністю для підтримки благополуччя. Вживати заходів для захисту себе та інших від можливих небезпек у цифровому середовищі (наприклад, </w:t>
      </w:r>
      <w:proofErr w:type="spellStart"/>
      <w:r w:rsidRPr="0051365E">
        <w:rPr>
          <w:sz w:val="28"/>
          <w:szCs w:val="28"/>
        </w:rPr>
        <w:t>кібербулінг</w:t>
      </w:r>
      <w:proofErr w:type="spellEnd"/>
      <w:r w:rsidRPr="0051365E">
        <w:rPr>
          <w:sz w:val="28"/>
          <w:szCs w:val="28"/>
        </w:rPr>
        <w:t>, шкідливий контент) та знати, як реагувати на такі небезпеки.   Компетентність 4.4: Захист довкілля  Бути обізнаним з впливом цифрових технологій на навколишнє середовище, включаючи виробництво пристроїв, експлуатацію, ремонт, переробку, утилізацію, інфраструктуру зберігання даних, споживання енергії та використання інструментів і програм. Вживати заходів для зменшення такого впливу та використовувати цифрові технології для підтримки сталого розвитку. </w:t>
      </w:r>
    </w:p>
    <w:p w:rsidR="003276F5" w:rsidRPr="0051365E" w:rsidRDefault="003276F5" w:rsidP="0051365E">
      <w:pPr>
        <w:pStyle w:val="a6"/>
        <w:spacing w:after="0" w:afterAutospacing="0" w:line="360" w:lineRule="auto"/>
        <w:jc w:val="both"/>
        <w:rPr>
          <w:sz w:val="28"/>
          <w:szCs w:val="28"/>
        </w:rPr>
      </w:pPr>
      <w:r w:rsidRPr="0051365E">
        <w:rPr>
          <w:sz w:val="28"/>
          <w:szCs w:val="28"/>
        </w:rPr>
        <w:t>Галузь компетенцій 5: Визначення та вирішення проблем Виявляти та оцінювати потреби, використовувати цифрові технології та адаптувати цифрове середовище для задоволення цих потреб. Виявляти та вирішувати технічні та концептуальні проблеми й проблемні ситуації в цифровому середовищі. Використовувати цифрові технології для вдосконалення процесів і продуктів або розробки нових рішень для них. Розвивати можливості для автономної роботи в цифровому середовищі. Бути в курсі цифрових технологічних розробок та їх наслідків.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Компетентність 5.1: Виявлення та вирішення технічних проблем  Виявляти технічні проблеми під час роботи з цифровими пристроями та в цифровому середовищі, а також вирішувати їх різними способами.  Компетентність 5.2: Визначення потреб та цифрових технологічних відповідей  Оцінювати власні потреби та потреби інших, а також оцінювати, вибирати, використовувати та адаптувати цифрові технології для задоволення цих потреб. Налаштовувати та налаштовувати цифрове середовище відповідно до контекстів, цілей та потреб (наприклад, доступності) себе та інших.   Компетентність 5.3: Визначення креативних рішень з використанням цифрових технологій  Використовувати цифрові технології для вдосконалення або розробки нових рішень для процесів і продуктів, застосовуючи </w:t>
      </w:r>
      <w:proofErr w:type="spellStart"/>
      <w:r w:rsidRPr="0051365E">
        <w:rPr>
          <w:sz w:val="28"/>
          <w:szCs w:val="28"/>
        </w:rPr>
        <w:t>людиноцентричний</w:t>
      </w:r>
      <w:proofErr w:type="spellEnd"/>
      <w:r w:rsidRPr="0051365E">
        <w:rPr>
          <w:sz w:val="28"/>
          <w:szCs w:val="28"/>
        </w:rPr>
        <w:t xml:space="preserve"> підхід. Залучати індивідуально та колективно до процесів критичного мислення, а також творчого та цілеспрямованого використання цифрових технологій для розуміння та вирішення концептуальних проблем і проблемних ситуацій.  Компетентність 5.4: Визначення та задоволення потреб у цифровій компетентності  Визнати, де власну цифрову компетентність потрібно покращити або оновити. Вирішувати потреби в цифровій компетентності в рамках ширшого процесу навчання протягом усього життя, розбудови потенціалу та автономії. Підтримувати інших у розвитку їхньої цифрової компетентності. Бути в курсі розвитку цифрових технологій та їхнього особистого, професійного та суспільного впливу.  Рівні володіння мовою Рівні володіння мовою описують рівень набуття цифрової компетентності особою на основі поєднання когнітивних вимог, складності завдання та рівня автономності, з яким виконується завдання. У </w:t>
      </w:r>
      <w:proofErr w:type="spellStart"/>
      <w:r w:rsidRPr="0051365E">
        <w:rPr>
          <w:sz w:val="28"/>
          <w:szCs w:val="28"/>
        </w:rPr>
        <w:t>DigComp</w:t>
      </w:r>
      <w:proofErr w:type="spellEnd"/>
      <w:r w:rsidRPr="0051365E">
        <w:rPr>
          <w:sz w:val="28"/>
          <w:szCs w:val="28"/>
        </w:rPr>
        <w:t xml:space="preserve"> завдання – це конкретна діяльність, яка передбачає використання цифрових технологій, що сприяє досягненню мети в будь-якому контексті – повсякденному житті, роботі чи навчанні. Завдання можуть відрізнятися за розміром, тривалістю та складністю і можуть виконуватися індивідуально або у співпраці з іншими.</w:t>
      </w:r>
    </w:p>
    <w:p w:rsidR="003276F5" w:rsidRPr="0051365E" w:rsidRDefault="003276F5" w:rsidP="0051365E">
      <w:pPr>
        <w:pStyle w:val="a6"/>
        <w:spacing w:after="0" w:afterAutospacing="0" w:line="360" w:lineRule="auto"/>
        <w:jc w:val="both"/>
        <w:rPr>
          <w:sz w:val="28"/>
          <w:szCs w:val="28"/>
        </w:rPr>
      </w:pPr>
      <w:proofErr w:type="spellStart"/>
      <w:r w:rsidRPr="0051365E">
        <w:rPr>
          <w:sz w:val="28"/>
          <w:szCs w:val="28"/>
        </w:rPr>
        <w:t>DigComp</w:t>
      </w:r>
      <w:proofErr w:type="spellEnd"/>
      <w:r w:rsidRPr="0051365E">
        <w:rPr>
          <w:sz w:val="28"/>
          <w:szCs w:val="28"/>
        </w:rPr>
        <w:t xml:space="preserve"> 3.0 має чотири рівні володіння мовою:</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Базове: люди запам'ятовують та виконують прості завдання з необхідними інструкціями Середній рівень: індивіди визначають та виконують чітко визначені завдання й самостійно вирішують чітко визначені проблеми. Високий рівень: люди самостійно оцінюють та застосовують рішення для різноманітних складних завдань, адаптуються до різних контекстів для належної оцінки та виконання завдань, керуючи іншими, якщо це необхідно. Високорозвинені: люди оцінюють, аналізують та вирішують дуже складні або спеціалізовані проблеми для створення нових рішень або адаптації існуючих, керуючи та направляючи інших, якщо і за потреби.  Для досягнення базового рівня цифрової компетентності </w:t>
      </w:r>
      <w:proofErr w:type="spellStart"/>
      <w:r w:rsidRPr="0051365E">
        <w:rPr>
          <w:sz w:val="28"/>
          <w:szCs w:val="28"/>
        </w:rPr>
        <w:t>DigComp</w:t>
      </w:r>
      <w:proofErr w:type="spellEnd"/>
      <w:r w:rsidRPr="0051365E">
        <w:rPr>
          <w:sz w:val="28"/>
          <w:szCs w:val="28"/>
        </w:rPr>
        <w:t xml:space="preserve"> 3.0 необхідно виконати кілька передумов , починаючи з базового рівня грамотності. Інші </w:t>
      </w:r>
      <w:proofErr w:type="spellStart"/>
      <w:r w:rsidRPr="0051365E">
        <w:rPr>
          <w:sz w:val="28"/>
          <w:szCs w:val="28"/>
        </w:rPr>
        <w:t>передумовні</w:t>
      </w:r>
      <w:proofErr w:type="spellEnd"/>
      <w:r w:rsidRPr="0051365E">
        <w:rPr>
          <w:sz w:val="28"/>
          <w:szCs w:val="28"/>
        </w:rPr>
        <w:t xml:space="preserve"> вимоги включають доступ до достатньо швидкого та стабільного інтернет-з’єднання; до одного або кількох цифрових пристроїв із необхідним підключенням та програмами; а також до технічної допомоги, керівництва та підтримки.</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Результати навчання Результати навчання є важливим  політичним та практичним інструментом . Їх можна використовувати різними способами – наприклад, для керівництва розробкою та переглядом навчальних програм або змісту курсів, як орієнтир для визнання та підтвердження формального, неформального та </w:t>
      </w:r>
      <w:proofErr w:type="spellStart"/>
      <w:r w:rsidRPr="0051365E">
        <w:rPr>
          <w:sz w:val="28"/>
          <w:szCs w:val="28"/>
        </w:rPr>
        <w:t>інформального</w:t>
      </w:r>
      <w:proofErr w:type="spellEnd"/>
      <w:r w:rsidRPr="0051365E">
        <w:rPr>
          <w:sz w:val="28"/>
          <w:szCs w:val="28"/>
        </w:rPr>
        <w:t xml:space="preserve"> навчання або для позначення ключових навичок працевлаштування у професійному профілюванні.</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Результати навчання </w:t>
      </w:r>
      <w:proofErr w:type="spellStart"/>
      <w:r w:rsidRPr="0051365E">
        <w:rPr>
          <w:sz w:val="28"/>
          <w:szCs w:val="28"/>
        </w:rPr>
        <w:t>DigComp</w:t>
      </w:r>
      <w:proofErr w:type="spellEnd"/>
      <w:r w:rsidRPr="0051365E">
        <w:rPr>
          <w:sz w:val="28"/>
          <w:szCs w:val="28"/>
        </w:rPr>
        <w:t xml:space="preserve"> 3.0 – це  твердження про те, що людина знає, розуміє та здатна робити після завершення навчального процесу, і визначаються з точки зору знань, навичок та ставлення.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Вони були розроблені у відповідь на запити користувачів щодо більшої ясності щодо застосування </w:t>
      </w:r>
      <w:proofErr w:type="spellStart"/>
      <w:r w:rsidRPr="0051365E">
        <w:rPr>
          <w:sz w:val="28"/>
          <w:szCs w:val="28"/>
        </w:rPr>
        <w:t>DigComp</w:t>
      </w:r>
      <w:proofErr w:type="spellEnd"/>
      <w:r w:rsidRPr="0051365E">
        <w:rPr>
          <w:sz w:val="28"/>
          <w:szCs w:val="28"/>
        </w:rPr>
        <w:t xml:space="preserve"> та дозволяють легше та </w:t>
      </w:r>
      <w:proofErr w:type="spellStart"/>
      <w:r w:rsidRPr="0051365E">
        <w:rPr>
          <w:sz w:val="28"/>
          <w:szCs w:val="28"/>
        </w:rPr>
        <w:t>послідовніше</w:t>
      </w:r>
      <w:proofErr w:type="spellEnd"/>
      <w:r w:rsidRPr="0051365E">
        <w:rPr>
          <w:sz w:val="28"/>
          <w:szCs w:val="28"/>
        </w:rPr>
        <w:t xml:space="preserve"> інтерпретувати цю платформу.</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У </w:t>
      </w:r>
      <w:proofErr w:type="spellStart"/>
      <w:r w:rsidRPr="0051365E">
        <w:rPr>
          <w:sz w:val="28"/>
          <w:szCs w:val="28"/>
        </w:rPr>
        <w:t>DigComp</w:t>
      </w:r>
      <w:proofErr w:type="spellEnd"/>
      <w:r w:rsidRPr="0051365E">
        <w:rPr>
          <w:sz w:val="28"/>
          <w:szCs w:val="28"/>
        </w:rPr>
        <w:t xml:space="preserve"> 3.0 результати навчання класифікуються за компетентністю, рівнем володіння мовою, а також за тим, чи це знання, навички чи ставлення. Вони доступні у форматі електронних таблиць та пов’язаних відкритих даних у  колекції даних </w:t>
      </w:r>
      <w:proofErr w:type="spellStart"/>
      <w:r w:rsidRPr="0051365E">
        <w:rPr>
          <w:sz w:val="28"/>
          <w:szCs w:val="28"/>
        </w:rPr>
        <w:t>DigComp</w:t>
      </w:r>
      <w:proofErr w:type="spellEnd"/>
      <w:r w:rsidRPr="0051365E">
        <w:rPr>
          <w:sz w:val="28"/>
          <w:szCs w:val="28"/>
        </w:rPr>
        <w:t xml:space="preserve"> 3.0 . </w:t>
      </w:r>
    </w:p>
    <w:p w:rsidR="003276F5" w:rsidRPr="0051365E" w:rsidRDefault="003276F5" w:rsidP="0051365E">
      <w:pPr>
        <w:pStyle w:val="a6"/>
        <w:spacing w:after="0" w:afterAutospacing="0" w:line="360" w:lineRule="auto"/>
        <w:jc w:val="both"/>
        <w:rPr>
          <w:sz w:val="28"/>
          <w:szCs w:val="28"/>
        </w:rPr>
      </w:pPr>
      <w:r w:rsidRPr="0051365E">
        <w:rPr>
          <w:sz w:val="28"/>
          <w:szCs w:val="28"/>
        </w:rPr>
        <w:t>Інтеграція компетенцій ШІ Штучний інтелект широко використовується та дедалі більше вбудовується в існуючі цифрові технології, що породжує потребу в тому, щоб люди розуміли, що таке ШІ, способи його використання, а також свої права та обов'язки щодо безпечного та етичного використання ШІ.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У </w:t>
      </w:r>
      <w:proofErr w:type="spellStart"/>
      <w:r w:rsidRPr="0051365E">
        <w:rPr>
          <w:sz w:val="28"/>
          <w:szCs w:val="28"/>
        </w:rPr>
        <w:t>DigComp</w:t>
      </w:r>
      <w:proofErr w:type="spellEnd"/>
      <w:r w:rsidRPr="0051365E">
        <w:rPr>
          <w:sz w:val="28"/>
          <w:szCs w:val="28"/>
        </w:rPr>
        <w:t xml:space="preserve"> 3.0 штучний інтелект розглядається як одна з цифрових технологій серед низки інших, при цьому основна увага приділяється самим цифровим компетенціям. Знання, навички та ставлення, пов'язані зі штучним інтелектом, представлені в усіх 21 компетенціях </w:t>
      </w:r>
      <w:proofErr w:type="spellStart"/>
      <w:r w:rsidRPr="0051365E">
        <w:rPr>
          <w:sz w:val="28"/>
          <w:szCs w:val="28"/>
        </w:rPr>
        <w:t>DigComp</w:t>
      </w:r>
      <w:proofErr w:type="spellEnd"/>
      <w:r w:rsidRPr="0051365E">
        <w:rPr>
          <w:sz w:val="28"/>
          <w:szCs w:val="28"/>
        </w:rPr>
        <w:t xml:space="preserve"> 3.0. </w:t>
      </w:r>
    </w:p>
    <w:p w:rsidR="003276F5" w:rsidRPr="0051365E" w:rsidRDefault="003276F5" w:rsidP="0051365E">
      <w:pPr>
        <w:pStyle w:val="a6"/>
        <w:spacing w:after="0" w:afterAutospacing="0" w:line="360" w:lineRule="auto"/>
        <w:jc w:val="both"/>
        <w:rPr>
          <w:sz w:val="28"/>
          <w:szCs w:val="28"/>
        </w:rPr>
      </w:pPr>
      <w:r w:rsidRPr="0051365E">
        <w:rPr>
          <w:sz w:val="28"/>
          <w:szCs w:val="28"/>
        </w:rPr>
        <w:t xml:space="preserve">Як поєднуються компоненти </w:t>
      </w:r>
      <w:proofErr w:type="spellStart"/>
      <w:r w:rsidRPr="0051365E">
        <w:rPr>
          <w:sz w:val="28"/>
          <w:szCs w:val="28"/>
        </w:rPr>
        <w:t>DigComp</w:t>
      </w:r>
      <w:proofErr w:type="spellEnd"/>
      <w:r w:rsidRPr="0051365E">
        <w:rPr>
          <w:sz w:val="28"/>
          <w:szCs w:val="28"/>
        </w:rPr>
        <w:t xml:space="preserve"> 3.0</w:t>
      </w:r>
    </w:p>
    <w:p w:rsidR="003276F5" w:rsidRPr="003276F5" w:rsidRDefault="003276F5" w:rsidP="0051365E">
      <w:pPr>
        <w:widowControl/>
        <w:spacing w:before="600" w:line="360" w:lineRule="auto"/>
        <w:jc w:val="both"/>
        <w:outlineLvl w:val="1"/>
        <w:rPr>
          <w:rFonts w:ascii="Times New Roman" w:eastAsia="Times New Roman" w:hAnsi="Times New Roman" w:cs="Times New Roman"/>
          <w:color w:val="00002E"/>
          <w:sz w:val="28"/>
          <w:szCs w:val="28"/>
        </w:rPr>
      </w:pPr>
      <w:r w:rsidRPr="003276F5">
        <w:rPr>
          <w:rFonts w:ascii="Times New Roman" w:eastAsia="Times New Roman" w:hAnsi="Times New Roman" w:cs="Times New Roman"/>
          <w:color w:val="00002E"/>
          <w:sz w:val="28"/>
          <w:szCs w:val="28"/>
        </w:rPr>
        <w:t>Контекст політики</w:t>
      </w:r>
    </w:p>
    <w:p w:rsidR="003276F5" w:rsidRPr="003276F5" w:rsidRDefault="003276F5" w:rsidP="0051365E">
      <w:pPr>
        <w:widowControl/>
        <w:spacing w:line="360" w:lineRule="auto"/>
        <w:jc w:val="both"/>
        <w:rPr>
          <w:rFonts w:ascii="Times New Roman" w:eastAsia="Times New Roman" w:hAnsi="Times New Roman" w:cs="Times New Roman"/>
          <w:color w:val="00002E"/>
          <w:sz w:val="28"/>
          <w:szCs w:val="28"/>
        </w:rPr>
      </w:pPr>
      <w:proofErr w:type="spellStart"/>
      <w:r w:rsidRPr="003276F5">
        <w:rPr>
          <w:rFonts w:ascii="Times New Roman" w:eastAsia="Times New Roman" w:hAnsi="Times New Roman" w:cs="Times New Roman"/>
          <w:color w:val="00002E"/>
          <w:sz w:val="28"/>
          <w:szCs w:val="28"/>
        </w:rPr>
        <w:t>DigComp</w:t>
      </w:r>
      <w:proofErr w:type="spellEnd"/>
      <w:r w:rsidRPr="003276F5">
        <w:rPr>
          <w:rFonts w:ascii="Times New Roman" w:eastAsia="Times New Roman" w:hAnsi="Times New Roman" w:cs="Times New Roman"/>
          <w:color w:val="00002E"/>
          <w:sz w:val="28"/>
          <w:szCs w:val="28"/>
        </w:rPr>
        <w:t xml:space="preserve"> 3.0 втілює принципи Європейської  </w:t>
      </w:r>
      <w:hyperlink r:id="rId17" w:history="1">
        <w:r w:rsidRPr="003276F5">
          <w:rPr>
            <w:rFonts w:ascii="Times New Roman" w:eastAsia="Times New Roman" w:hAnsi="Times New Roman" w:cs="Times New Roman"/>
            <w:color w:val="0046FF"/>
            <w:sz w:val="28"/>
            <w:szCs w:val="28"/>
            <w:u w:val="single"/>
          </w:rPr>
          <w:t>декларації про цифрові права та принципи для цифрового десятиліття</w:t>
        </w:r>
      </w:hyperlink>
      <w:r w:rsidRPr="003276F5">
        <w:rPr>
          <w:rFonts w:ascii="Times New Roman" w:eastAsia="Times New Roman" w:hAnsi="Times New Roman" w:cs="Times New Roman"/>
          <w:color w:val="00002E"/>
          <w:sz w:val="28"/>
          <w:szCs w:val="28"/>
        </w:rPr>
        <w:t> , яка ставить людей у ​​центр цифрової трансформації та допомагає закласти основу на сукупності спільних європейських цінностей та принципів. </w:t>
      </w:r>
    </w:p>
    <w:p w:rsidR="003276F5" w:rsidRPr="003276F5" w:rsidRDefault="003276F5" w:rsidP="0051365E">
      <w:pPr>
        <w:widowControl/>
        <w:spacing w:beforeAutospacing="1" w:line="360" w:lineRule="auto"/>
        <w:jc w:val="both"/>
        <w:rPr>
          <w:rFonts w:ascii="Times New Roman" w:eastAsia="Times New Roman" w:hAnsi="Times New Roman" w:cs="Times New Roman"/>
          <w:color w:val="00002E"/>
          <w:sz w:val="28"/>
          <w:szCs w:val="28"/>
        </w:rPr>
      </w:pPr>
      <w:r w:rsidRPr="003276F5">
        <w:rPr>
          <w:rFonts w:ascii="Times New Roman" w:eastAsia="Times New Roman" w:hAnsi="Times New Roman" w:cs="Times New Roman"/>
          <w:color w:val="00002E"/>
          <w:sz w:val="28"/>
          <w:szCs w:val="28"/>
        </w:rPr>
        <w:t>Він також узгоджується з європейською політикою та ініціативами, пов’язаними з цифровими навичками та суспільним впливом цифрової трансформації, такими як  </w:t>
      </w:r>
      <w:hyperlink r:id="rId18" w:history="1">
        <w:r w:rsidRPr="003276F5">
          <w:rPr>
            <w:rFonts w:ascii="Times New Roman" w:eastAsia="Times New Roman" w:hAnsi="Times New Roman" w:cs="Times New Roman"/>
            <w:color w:val="0046FF"/>
            <w:sz w:val="28"/>
            <w:szCs w:val="28"/>
            <w:u w:val="single"/>
          </w:rPr>
          <w:t>програма політики Цифрового десятиліття</w:t>
        </w:r>
      </w:hyperlink>
      <w:r w:rsidRPr="003276F5">
        <w:rPr>
          <w:rFonts w:ascii="Times New Roman" w:eastAsia="Times New Roman" w:hAnsi="Times New Roman" w:cs="Times New Roman"/>
          <w:color w:val="00002E"/>
          <w:sz w:val="28"/>
          <w:szCs w:val="28"/>
        </w:rPr>
        <w:t> ,  </w:t>
      </w:r>
      <w:hyperlink r:id="rId19" w:history="1">
        <w:r w:rsidRPr="003276F5">
          <w:rPr>
            <w:rFonts w:ascii="Times New Roman" w:eastAsia="Times New Roman" w:hAnsi="Times New Roman" w:cs="Times New Roman"/>
            <w:color w:val="0046FF"/>
            <w:sz w:val="28"/>
            <w:szCs w:val="28"/>
            <w:u w:val="single"/>
          </w:rPr>
          <w:t>Спілка навичок</w:t>
        </w:r>
      </w:hyperlink>
      <w:r w:rsidRPr="003276F5">
        <w:rPr>
          <w:rFonts w:ascii="Times New Roman" w:eastAsia="Times New Roman" w:hAnsi="Times New Roman" w:cs="Times New Roman"/>
          <w:color w:val="00002E"/>
          <w:sz w:val="28"/>
          <w:szCs w:val="28"/>
        </w:rPr>
        <w:t> ,  </w:t>
      </w:r>
      <w:hyperlink r:id="rId20" w:history="1">
        <w:r w:rsidRPr="003276F5">
          <w:rPr>
            <w:rFonts w:ascii="Times New Roman" w:eastAsia="Times New Roman" w:hAnsi="Times New Roman" w:cs="Times New Roman"/>
            <w:color w:val="0046FF"/>
            <w:sz w:val="28"/>
            <w:szCs w:val="28"/>
            <w:u w:val="single"/>
          </w:rPr>
          <w:t>План дій Європейського стовпа соціальних прав</w:t>
        </w:r>
      </w:hyperlink>
      <w:r w:rsidRPr="003276F5">
        <w:rPr>
          <w:rFonts w:ascii="Times New Roman" w:eastAsia="Times New Roman" w:hAnsi="Times New Roman" w:cs="Times New Roman"/>
          <w:color w:val="00002E"/>
          <w:sz w:val="28"/>
          <w:szCs w:val="28"/>
        </w:rPr>
        <w:t> та  </w:t>
      </w:r>
      <w:hyperlink r:id="rId21" w:history="1">
        <w:r w:rsidRPr="003276F5">
          <w:rPr>
            <w:rFonts w:ascii="Times New Roman" w:eastAsia="Times New Roman" w:hAnsi="Times New Roman" w:cs="Times New Roman"/>
            <w:color w:val="0046FF"/>
            <w:sz w:val="28"/>
            <w:szCs w:val="28"/>
            <w:u w:val="single"/>
          </w:rPr>
          <w:t>Європейська стратегія покращення Інтернету для дітей</w:t>
        </w:r>
      </w:hyperlink>
      <w:r w:rsidRPr="003276F5">
        <w:rPr>
          <w:rFonts w:ascii="Times New Roman" w:eastAsia="Times New Roman" w:hAnsi="Times New Roman" w:cs="Times New Roman"/>
          <w:color w:val="00002E"/>
          <w:sz w:val="28"/>
          <w:szCs w:val="28"/>
        </w:rPr>
        <w:t>  (BIK+). Ця структура визнає права та обов’язки громадян згідно з такими нормативними актами ЄС, як  </w:t>
      </w:r>
      <w:hyperlink r:id="rId22" w:history="1">
        <w:r w:rsidRPr="003276F5">
          <w:rPr>
            <w:rFonts w:ascii="Times New Roman" w:eastAsia="Times New Roman" w:hAnsi="Times New Roman" w:cs="Times New Roman"/>
            <w:color w:val="0046FF"/>
            <w:sz w:val="28"/>
            <w:szCs w:val="28"/>
            <w:u w:val="single"/>
          </w:rPr>
          <w:t>Загальний регламент про захист даних</w:t>
        </w:r>
      </w:hyperlink>
      <w:r w:rsidRPr="003276F5">
        <w:rPr>
          <w:rFonts w:ascii="Times New Roman" w:eastAsia="Times New Roman" w:hAnsi="Times New Roman" w:cs="Times New Roman"/>
          <w:color w:val="00002E"/>
          <w:sz w:val="28"/>
          <w:szCs w:val="28"/>
        </w:rPr>
        <w:t> ,  </w:t>
      </w:r>
      <w:hyperlink r:id="rId23" w:history="1">
        <w:r w:rsidRPr="003276F5">
          <w:rPr>
            <w:rFonts w:ascii="Times New Roman" w:eastAsia="Times New Roman" w:hAnsi="Times New Roman" w:cs="Times New Roman"/>
            <w:color w:val="0046FF"/>
            <w:sz w:val="28"/>
            <w:szCs w:val="28"/>
            <w:u w:val="single"/>
          </w:rPr>
          <w:t>Закон про цифрові послуги</w:t>
        </w:r>
      </w:hyperlink>
      <w:r w:rsidRPr="003276F5">
        <w:rPr>
          <w:rFonts w:ascii="Times New Roman" w:eastAsia="Times New Roman" w:hAnsi="Times New Roman" w:cs="Times New Roman"/>
          <w:color w:val="00002E"/>
          <w:sz w:val="28"/>
          <w:szCs w:val="28"/>
        </w:rPr>
        <w:t> ,  </w:t>
      </w:r>
      <w:hyperlink r:id="rId24" w:history="1">
        <w:r w:rsidRPr="003276F5">
          <w:rPr>
            <w:rFonts w:ascii="Times New Roman" w:eastAsia="Times New Roman" w:hAnsi="Times New Roman" w:cs="Times New Roman"/>
            <w:color w:val="0046FF"/>
            <w:sz w:val="28"/>
            <w:szCs w:val="28"/>
            <w:u w:val="single"/>
          </w:rPr>
          <w:t>Закон про цифрові ринки</w:t>
        </w:r>
      </w:hyperlink>
      <w:r w:rsidRPr="003276F5">
        <w:rPr>
          <w:rFonts w:ascii="Times New Roman" w:eastAsia="Times New Roman" w:hAnsi="Times New Roman" w:cs="Times New Roman"/>
          <w:color w:val="00002E"/>
          <w:sz w:val="28"/>
          <w:szCs w:val="28"/>
        </w:rPr>
        <w:t>  та  </w:t>
      </w:r>
      <w:hyperlink r:id="rId25" w:history="1">
        <w:r w:rsidRPr="003276F5">
          <w:rPr>
            <w:rFonts w:ascii="Times New Roman" w:eastAsia="Times New Roman" w:hAnsi="Times New Roman" w:cs="Times New Roman"/>
            <w:color w:val="0046FF"/>
            <w:sz w:val="28"/>
            <w:szCs w:val="28"/>
            <w:u w:val="single"/>
          </w:rPr>
          <w:t>Закон про штучний інтелект</w:t>
        </w:r>
      </w:hyperlink>
      <w:r w:rsidRPr="003276F5">
        <w:rPr>
          <w:rFonts w:ascii="Times New Roman" w:eastAsia="Times New Roman" w:hAnsi="Times New Roman" w:cs="Times New Roman"/>
          <w:color w:val="00002E"/>
          <w:sz w:val="28"/>
          <w:szCs w:val="28"/>
        </w:rPr>
        <w:t> . </w:t>
      </w:r>
    </w:p>
    <w:p w:rsidR="003276F5" w:rsidRPr="0051365E" w:rsidRDefault="003276F5" w:rsidP="0051365E">
      <w:pPr>
        <w:spacing w:line="360" w:lineRule="auto"/>
        <w:jc w:val="both"/>
        <w:rPr>
          <w:rFonts w:ascii="Times New Roman" w:hAnsi="Times New Roman" w:cs="Times New Roman"/>
          <w:sz w:val="28"/>
          <w:szCs w:val="28"/>
        </w:rPr>
      </w:pPr>
    </w:p>
    <w:p w:rsidR="00611F0E" w:rsidRPr="0051365E" w:rsidRDefault="00611F0E" w:rsidP="0051365E">
      <w:pPr>
        <w:spacing w:line="360" w:lineRule="auto"/>
        <w:jc w:val="both"/>
        <w:rPr>
          <w:rFonts w:ascii="Times New Roman" w:hAnsi="Times New Roman" w:cs="Times New Roman"/>
          <w:sz w:val="28"/>
          <w:szCs w:val="28"/>
        </w:rPr>
      </w:pPr>
    </w:p>
    <w:p w:rsidR="00611F0E" w:rsidRPr="00611F0E" w:rsidRDefault="00611F0E" w:rsidP="0051365E">
      <w:pPr>
        <w:spacing w:line="360" w:lineRule="auto"/>
        <w:jc w:val="both"/>
        <w:rPr>
          <w:rFonts w:ascii="Times New Roman" w:hAnsi="Times New Roman" w:cs="Times New Roman"/>
          <w:sz w:val="28"/>
          <w:szCs w:val="28"/>
        </w:rPr>
      </w:pPr>
      <w:r w:rsidRPr="00611F0E">
        <w:rPr>
          <w:rFonts w:ascii="Times New Roman" w:hAnsi="Times New Roman" w:cs="Times New Roman"/>
          <w:sz w:val="28"/>
          <w:szCs w:val="28"/>
        </w:rPr>
        <w:t>«</w:t>
      </w:r>
      <w:proofErr w:type="spellStart"/>
      <w:r w:rsidRPr="00611F0E">
        <w:rPr>
          <w:rFonts w:ascii="Times New Roman" w:hAnsi="Times New Roman" w:cs="Times New Roman"/>
          <w:sz w:val="28"/>
          <w:szCs w:val="28"/>
        </w:rPr>
        <w:t>Цифрограм</w:t>
      </w:r>
      <w:proofErr w:type="spellEnd"/>
      <w:r w:rsidRPr="00611F0E">
        <w:rPr>
          <w:rFonts w:ascii="Times New Roman" w:hAnsi="Times New Roman" w:cs="Times New Roman"/>
          <w:sz w:val="28"/>
          <w:szCs w:val="28"/>
        </w:rPr>
        <w:t xml:space="preserve"> 2.0» на платформі «</w:t>
      </w:r>
      <w:proofErr w:type="spellStart"/>
      <w:r w:rsidRPr="00611F0E">
        <w:rPr>
          <w:rFonts w:ascii="Times New Roman" w:hAnsi="Times New Roman" w:cs="Times New Roman"/>
          <w:sz w:val="28"/>
          <w:szCs w:val="28"/>
        </w:rPr>
        <w:t>Дія.Освіта</w:t>
      </w:r>
      <w:proofErr w:type="spellEnd"/>
      <w:r w:rsidRPr="00611F0E">
        <w:rPr>
          <w:rFonts w:ascii="Times New Roman" w:hAnsi="Times New Roman" w:cs="Times New Roman"/>
          <w:sz w:val="28"/>
          <w:szCs w:val="28"/>
        </w:rPr>
        <w:t xml:space="preserve">» — це адаптований до українських реалій інструмент оцінювання, який базується на європейській рамці </w:t>
      </w:r>
      <w:proofErr w:type="spellStart"/>
      <w:r w:rsidRPr="00611F0E">
        <w:rPr>
          <w:rFonts w:ascii="Times New Roman" w:hAnsi="Times New Roman" w:cs="Times New Roman"/>
          <w:sz w:val="28"/>
          <w:szCs w:val="28"/>
        </w:rPr>
        <w:t>DigComp</w:t>
      </w:r>
      <w:proofErr w:type="spellEnd"/>
      <w:r w:rsidRPr="00611F0E">
        <w:rPr>
          <w:rFonts w:ascii="Times New Roman" w:hAnsi="Times New Roman" w:cs="Times New Roman"/>
          <w:sz w:val="28"/>
          <w:szCs w:val="28"/>
        </w:rPr>
        <w:t xml:space="preserve"> 2.2 та складається з 90 питань, що охоплюють 5 сфер цифрових </w:t>
      </w:r>
      <w:proofErr w:type="spellStart"/>
      <w:r w:rsidRPr="00611F0E">
        <w:rPr>
          <w:rFonts w:ascii="Times New Roman" w:hAnsi="Times New Roman" w:cs="Times New Roman"/>
          <w:sz w:val="28"/>
          <w:szCs w:val="28"/>
        </w:rPr>
        <w:t>компетентностей</w:t>
      </w:r>
      <w:proofErr w:type="spellEnd"/>
      <w:r w:rsidRPr="00611F0E">
        <w:rPr>
          <w:rFonts w:ascii="Times New Roman" w:hAnsi="Times New Roman" w:cs="Times New Roman"/>
          <w:sz w:val="28"/>
          <w:szCs w:val="28"/>
        </w:rPr>
        <w:t>. Цей стандарт забезпечує єдиний підхід до визначення рівня цифрової грамотності для навчання, роботи та суспільного життя. </w:t>
      </w:r>
    </w:p>
    <w:p w:rsidR="00611F0E" w:rsidRPr="00611F0E" w:rsidRDefault="00611F0E" w:rsidP="0051365E">
      <w:pPr>
        <w:spacing w:line="360" w:lineRule="auto"/>
        <w:jc w:val="both"/>
        <w:rPr>
          <w:rFonts w:ascii="Times New Roman" w:hAnsi="Times New Roman" w:cs="Times New Roman"/>
          <w:sz w:val="28"/>
          <w:szCs w:val="28"/>
        </w:rPr>
      </w:pPr>
      <w:r w:rsidRPr="00611F0E">
        <w:rPr>
          <w:rFonts w:ascii="Times New Roman" w:hAnsi="Times New Roman" w:cs="Times New Roman"/>
          <w:b/>
          <w:bCs/>
          <w:sz w:val="28"/>
          <w:szCs w:val="28"/>
        </w:rPr>
        <w:t xml:space="preserve">Основні аспекти використання </w:t>
      </w:r>
      <w:proofErr w:type="spellStart"/>
      <w:r w:rsidRPr="00611F0E">
        <w:rPr>
          <w:rFonts w:ascii="Times New Roman" w:hAnsi="Times New Roman" w:cs="Times New Roman"/>
          <w:b/>
          <w:bCs/>
          <w:sz w:val="28"/>
          <w:szCs w:val="28"/>
        </w:rPr>
        <w:t>DigComp</w:t>
      </w:r>
      <w:proofErr w:type="spellEnd"/>
      <w:r w:rsidRPr="00611F0E">
        <w:rPr>
          <w:rFonts w:ascii="Times New Roman" w:hAnsi="Times New Roman" w:cs="Times New Roman"/>
          <w:b/>
          <w:bCs/>
          <w:sz w:val="28"/>
          <w:szCs w:val="28"/>
        </w:rPr>
        <w:t xml:space="preserve"> 2.2 в Україні (</w:t>
      </w:r>
      <w:proofErr w:type="spellStart"/>
      <w:r w:rsidRPr="00611F0E">
        <w:rPr>
          <w:rFonts w:ascii="Times New Roman" w:hAnsi="Times New Roman" w:cs="Times New Roman"/>
          <w:b/>
          <w:bCs/>
          <w:sz w:val="28"/>
          <w:szCs w:val="28"/>
        </w:rPr>
        <w:t>Цифрограм</w:t>
      </w:r>
      <w:proofErr w:type="spellEnd"/>
      <w:r w:rsidRPr="00611F0E">
        <w:rPr>
          <w:rFonts w:ascii="Times New Roman" w:hAnsi="Times New Roman" w:cs="Times New Roman"/>
          <w:b/>
          <w:bCs/>
          <w:sz w:val="28"/>
          <w:szCs w:val="28"/>
        </w:rPr>
        <w:t xml:space="preserve"> 2.0):</w:t>
      </w:r>
    </w:p>
    <w:p w:rsidR="00611F0E" w:rsidRPr="00611F0E" w:rsidRDefault="00611F0E" w:rsidP="0051365E">
      <w:pPr>
        <w:numPr>
          <w:ilvl w:val="0"/>
          <w:numId w:val="2"/>
        </w:numPr>
        <w:spacing w:line="360" w:lineRule="auto"/>
        <w:jc w:val="both"/>
        <w:rPr>
          <w:rFonts w:ascii="Times New Roman" w:hAnsi="Times New Roman" w:cs="Times New Roman"/>
          <w:sz w:val="28"/>
          <w:szCs w:val="28"/>
        </w:rPr>
      </w:pPr>
      <w:r w:rsidRPr="00611F0E">
        <w:rPr>
          <w:rFonts w:ascii="Times New Roman" w:hAnsi="Times New Roman" w:cs="Times New Roman"/>
          <w:b/>
          <w:bCs/>
          <w:sz w:val="28"/>
          <w:szCs w:val="28"/>
        </w:rPr>
        <w:t>Відповідність стандартам:</w:t>
      </w:r>
      <w:r w:rsidRPr="00611F0E">
        <w:rPr>
          <w:rFonts w:ascii="Times New Roman" w:hAnsi="Times New Roman" w:cs="Times New Roman"/>
          <w:sz w:val="28"/>
          <w:szCs w:val="28"/>
        </w:rPr>
        <w:t xml:space="preserve"> Рамка адаптована з урахуванням європейських норм </w:t>
      </w:r>
      <w:proofErr w:type="spellStart"/>
      <w:r w:rsidRPr="00611F0E">
        <w:rPr>
          <w:rFonts w:ascii="Times New Roman" w:hAnsi="Times New Roman" w:cs="Times New Roman"/>
          <w:sz w:val="28"/>
          <w:szCs w:val="28"/>
        </w:rPr>
        <w:t>DigComp</w:t>
      </w:r>
      <w:proofErr w:type="spellEnd"/>
      <w:r w:rsidRPr="00611F0E">
        <w:rPr>
          <w:rFonts w:ascii="Times New Roman" w:hAnsi="Times New Roman" w:cs="Times New Roman"/>
          <w:sz w:val="28"/>
          <w:szCs w:val="28"/>
        </w:rPr>
        <w:t xml:space="preserve"> 2.1/2.2, забезпечуючи критичне та безпечне використання цифрових технологій.</w:t>
      </w:r>
    </w:p>
    <w:p w:rsidR="00611F0E" w:rsidRPr="00611F0E" w:rsidRDefault="00611F0E" w:rsidP="0051365E">
      <w:pPr>
        <w:numPr>
          <w:ilvl w:val="0"/>
          <w:numId w:val="2"/>
        </w:numPr>
        <w:spacing w:line="360" w:lineRule="auto"/>
        <w:jc w:val="both"/>
        <w:rPr>
          <w:rFonts w:ascii="Times New Roman" w:hAnsi="Times New Roman" w:cs="Times New Roman"/>
          <w:sz w:val="28"/>
          <w:szCs w:val="28"/>
        </w:rPr>
      </w:pPr>
      <w:r w:rsidRPr="00611F0E">
        <w:rPr>
          <w:rFonts w:ascii="Times New Roman" w:hAnsi="Times New Roman" w:cs="Times New Roman"/>
          <w:b/>
          <w:bCs/>
          <w:sz w:val="28"/>
          <w:szCs w:val="28"/>
        </w:rPr>
        <w:t>Структура тесту:</w:t>
      </w:r>
      <w:r w:rsidRPr="00611F0E">
        <w:rPr>
          <w:rFonts w:ascii="Times New Roman" w:hAnsi="Times New Roman" w:cs="Times New Roman"/>
          <w:sz w:val="28"/>
          <w:szCs w:val="28"/>
        </w:rPr>
        <w:t xml:space="preserve"> 90 питань </w:t>
      </w:r>
      <w:proofErr w:type="spellStart"/>
      <w:r w:rsidRPr="00611F0E">
        <w:rPr>
          <w:rFonts w:ascii="Times New Roman" w:hAnsi="Times New Roman" w:cs="Times New Roman"/>
          <w:sz w:val="28"/>
          <w:szCs w:val="28"/>
        </w:rPr>
        <w:t>Цифрограму</w:t>
      </w:r>
      <w:proofErr w:type="spellEnd"/>
      <w:r w:rsidRPr="00611F0E">
        <w:rPr>
          <w:rFonts w:ascii="Times New Roman" w:hAnsi="Times New Roman" w:cs="Times New Roman"/>
          <w:sz w:val="28"/>
          <w:szCs w:val="28"/>
        </w:rPr>
        <w:t xml:space="preserve"> охоплюють п'ять ключових сфер: інформаційна грамотність, комунікація, створення контенту, безпека (включаючи </w:t>
      </w:r>
      <w:proofErr w:type="spellStart"/>
      <w:r w:rsidRPr="00611F0E">
        <w:rPr>
          <w:rFonts w:ascii="Times New Roman" w:hAnsi="Times New Roman" w:cs="Times New Roman"/>
          <w:sz w:val="28"/>
          <w:szCs w:val="28"/>
        </w:rPr>
        <w:t>кібербезпеку</w:t>
      </w:r>
      <w:proofErr w:type="spellEnd"/>
      <w:r w:rsidRPr="00611F0E">
        <w:rPr>
          <w:rFonts w:ascii="Times New Roman" w:hAnsi="Times New Roman" w:cs="Times New Roman"/>
          <w:sz w:val="28"/>
          <w:szCs w:val="28"/>
        </w:rPr>
        <w:t>) та вирішення проблем.</w:t>
      </w:r>
    </w:p>
    <w:p w:rsidR="00611F0E" w:rsidRPr="00611F0E" w:rsidRDefault="00611F0E" w:rsidP="0051365E">
      <w:pPr>
        <w:numPr>
          <w:ilvl w:val="0"/>
          <w:numId w:val="2"/>
        </w:numPr>
        <w:spacing w:line="360" w:lineRule="auto"/>
        <w:jc w:val="both"/>
        <w:rPr>
          <w:rFonts w:ascii="Times New Roman" w:hAnsi="Times New Roman" w:cs="Times New Roman"/>
          <w:sz w:val="28"/>
          <w:szCs w:val="28"/>
        </w:rPr>
      </w:pPr>
      <w:r w:rsidRPr="00611F0E">
        <w:rPr>
          <w:rFonts w:ascii="Times New Roman" w:hAnsi="Times New Roman" w:cs="Times New Roman"/>
          <w:b/>
          <w:bCs/>
          <w:sz w:val="28"/>
          <w:szCs w:val="28"/>
        </w:rPr>
        <w:t>Вимірювання рівнів:</w:t>
      </w:r>
      <w:r w:rsidRPr="00611F0E">
        <w:rPr>
          <w:rFonts w:ascii="Times New Roman" w:hAnsi="Times New Roman" w:cs="Times New Roman"/>
          <w:sz w:val="28"/>
          <w:szCs w:val="28"/>
        </w:rPr>
        <w:t> Тест визначає рівень володіння цифровими навичками від базового до високого, дозволяючи громадянам виявити прогалини у знаннях.</w:t>
      </w:r>
    </w:p>
    <w:p w:rsidR="00611F0E" w:rsidRPr="00611F0E" w:rsidRDefault="00611F0E" w:rsidP="0051365E">
      <w:pPr>
        <w:numPr>
          <w:ilvl w:val="0"/>
          <w:numId w:val="2"/>
        </w:numPr>
        <w:spacing w:line="360" w:lineRule="auto"/>
        <w:jc w:val="both"/>
        <w:rPr>
          <w:rFonts w:ascii="Times New Roman" w:hAnsi="Times New Roman" w:cs="Times New Roman"/>
          <w:sz w:val="28"/>
          <w:szCs w:val="28"/>
        </w:rPr>
      </w:pPr>
      <w:r w:rsidRPr="00611F0E">
        <w:rPr>
          <w:rFonts w:ascii="Times New Roman" w:hAnsi="Times New Roman" w:cs="Times New Roman"/>
          <w:b/>
          <w:bCs/>
          <w:sz w:val="28"/>
          <w:szCs w:val="28"/>
        </w:rPr>
        <w:t>Адаптація для цільових груп:</w:t>
      </w:r>
      <w:r w:rsidRPr="00611F0E">
        <w:rPr>
          <w:rFonts w:ascii="Times New Roman" w:hAnsi="Times New Roman" w:cs="Times New Roman"/>
          <w:sz w:val="28"/>
          <w:szCs w:val="28"/>
        </w:rPr>
        <w:t xml:space="preserve"> Окрім загального </w:t>
      </w:r>
      <w:proofErr w:type="spellStart"/>
      <w:r w:rsidRPr="00611F0E">
        <w:rPr>
          <w:rFonts w:ascii="Times New Roman" w:hAnsi="Times New Roman" w:cs="Times New Roman"/>
          <w:sz w:val="28"/>
          <w:szCs w:val="28"/>
        </w:rPr>
        <w:t>Цифрограму</w:t>
      </w:r>
      <w:proofErr w:type="spellEnd"/>
      <w:r w:rsidRPr="00611F0E">
        <w:rPr>
          <w:rFonts w:ascii="Times New Roman" w:hAnsi="Times New Roman" w:cs="Times New Roman"/>
          <w:sz w:val="28"/>
          <w:szCs w:val="28"/>
        </w:rPr>
        <w:t>, існують спеціалізовані тести, адаптовані під потреби вчителів, держслужбовців та підприємців.</w:t>
      </w:r>
    </w:p>
    <w:p w:rsidR="00611F0E" w:rsidRPr="00611F0E" w:rsidRDefault="00611F0E" w:rsidP="0051365E">
      <w:pPr>
        <w:numPr>
          <w:ilvl w:val="0"/>
          <w:numId w:val="2"/>
        </w:numPr>
        <w:spacing w:line="360" w:lineRule="auto"/>
        <w:jc w:val="both"/>
        <w:rPr>
          <w:rFonts w:ascii="Times New Roman" w:hAnsi="Times New Roman" w:cs="Times New Roman"/>
          <w:sz w:val="28"/>
          <w:szCs w:val="28"/>
        </w:rPr>
      </w:pPr>
      <w:r w:rsidRPr="00611F0E">
        <w:rPr>
          <w:rFonts w:ascii="Times New Roman" w:hAnsi="Times New Roman" w:cs="Times New Roman"/>
          <w:b/>
          <w:bCs/>
          <w:sz w:val="28"/>
          <w:szCs w:val="28"/>
        </w:rPr>
        <w:t>Мета:</w:t>
      </w:r>
      <w:r w:rsidRPr="00611F0E">
        <w:rPr>
          <w:rFonts w:ascii="Times New Roman" w:hAnsi="Times New Roman" w:cs="Times New Roman"/>
          <w:sz w:val="28"/>
          <w:szCs w:val="28"/>
        </w:rPr>
        <w:t> Підвищення цифрової грамотності населення, що є критичним для протидії загрозам в інтернеті та забезпечення конкурентоспроможності. </w:t>
      </w:r>
    </w:p>
    <w:p w:rsidR="00611F0E" w:rsidRPr="00611F0E" w:rsidRDefault="00611F0E" w:rsidP="0051365E">
      <w:pPr>
        <w:spacing w:line="360" w:lineRule="auto"/>
        <w:jc w:val="both"/>
        <w:rPr>
          <w:rFonts w:ascii="Times New Roman" w:hAnsi="Times New Roman" w:cs="Times New Roman"/>
          <w:sz w:val="28"/>
          <w:szCs w:val="28"/>
        </w:rPr>
      </w:pPr>
      <w:proofErr w:type="spellStart"/>
      <w:r w:rsidRPr="00611F0E">
        <w:rPr>
          <w:rFonts w:ascii="Times New Roman" w:hAnsi="Times New Roman" w:cs="Times New Roman"/>
          <w:sz w:val="28"/>
          <w:szCs w:val="28"/>
        </w:rPr>
        <w:t>Цифрограм</w:t>
      </w:r>
      <w:proofErr w:type="spellEnd"/>
      <w:r w:rsidRPr="00611F0E">
        <w:rPr>
          <w:rFonts w:ascii="Times New Roman" w:hAnsi="Times New Roman" w:cs="Times New Roman"/>
          <w:sz w:val="28"/>
          <w:szCs w:val="28"/>
        </w:rPr>
        <w:t xml:space="preserve"> 2.0 є основним інструментом </w:t>
      </w:r>
      <w:hyperlink r:id="rId26" w:tgtFrame="_blank" w:history="1">
        <w:r w:rsidRPr="00611F0E">
          <w:rPr>
            <w:rStyle w:val="a3"/>
            <w:rFonts w:ascii="Times New Roman" w:hAnsi="Times New Roman" w:cs="Times New Roman"/>
            <w:sz w:val="28"/>
            <w:szCs w:val="28"/>
          </w:rPr>
          <w:t>Міністерства цифрової трансформації</w:t>
        </w:r>
      </w:hyperlink>
      <w:r w:rsidRPr="00611F0E">
        <w:rPr>
          <w:rFonts w:ascii="Times New Roman" w:hAnsi="Times New Roman" w:cs="Times New Roman"/>
          <w:sz w:val="28"/>
          <w:szCs w:val="28"/>
        </w:rPr>
        <w:t>, що допомагає громадянам перевірити готовність до "держави в смартфоні" та отримати сертифікат. </w:t>
      </w:r>
    </w:p>
    <w:p w:rsidR="00611F0E" w:rsidRPr="00611F0E" w:rsidRDefault="00611F0E" w:rsidP="0051365E">
      <w:pPr>
        <w:spacing w:line="360" w:lineRule="auto"/>
        <w:jc w:val="both"/>
        <w:rPr>
          <w:rFonts w:ascii="Times New Roman" w:hAnsi="Times New Roman" w:cs="Times New Roman"/>
          <w:sz w:val="28"/>
          <w:szCs w:val="28"/>
        </w:rPr>
      </w:pPr>
      <w:r w:rsidRPr="00611F0E">
        <w:rPr>
          <w:rFonts w:ascii="Times New Roman" w:hAnsi="Times New Roman" w:cs="Times New Roman"/>
          <w:sz w:val="28"/>
          <w:szCs w:val="28"/>
        </w:rPr>
        <w:t>Тестування передбачає перевірку базових знань та навичок із цифрової грамотності 6 сферах:</w:t>
      </w:r>
    </w:p>
    <w:p w:rsidR="00611F0E" w:rsidRPr="00611F0E" w:rsidRDefault="00611F0E" w:rsidP="0051365E">
      <w:pPr>
        <w:spacing w:line="360" w:lineRule="auto"/>
        <w:jc w:val="both"/>
        <w:rPr>
          <w:rFonts w:ascii="Times New Roman" w:hAnsi="Times New Roman" w:cs="Times New Roman"/>
          <w:sz w:val="28"/>
          <w:szCs w:val="28"/>
        </w:rPr>
      </w:pPr>
      <w:r w:rsidRPr="00611F0E">
        <w:rPr>
          <w:rFonts w:ascii="Times New Roman" w:hAnsi="Times New Roman" w:cs="Times New Roman"/>
          <w:sz w:val="28"/>
          <w:szCs w:val="28"/>
        </w:rPr>
        <w:t xml:space="preserve">Основи комп’ютерної грамотності. Інформаційна та </w:t>
      </w:r>
      <w:proofErr w:type="spellStart"/>
      <w:r w:rsidRPr="00611F0E">
        <w:rPr>
          <w:rFonts w:ascii="Times New Roman" w:hAnsi="Times New Roman" w:cs="Times New Roman"/>
          <w:sz w:val="28"/>
          <w:szCs w:val="28"/>
        </w:rPr>
        <w:t>медіаграмотність</w:t>
      </w:r>
      <w:proofErr w:type="spellEnd"/>
      <w:r w:rsidRPr="00611F0E">
        <w:rPr>
          <w:rFonts w:ascii="Times New Roman" w:hAnsi="Times New Roman" w:cs="Times New Roman"/>
          <w:sz w:val="28"/>
          <w:szCs w:val="28"/>
        </w:rPr>
        <w:t>. Вміння працювати з даними. Створення цифрового контенту. Комунікація і взаємодія у цифровому суспільстві. Безпека у цифровому середовищі. Вирішення технічних проблем. Навчання впродовж життя у цифровому суспільстві.</w:t>
      </w:r>
    </w:p>
    <w:p w:rsidR="00611F0E" w:rsidRPr="0051365E" w:rsidRDefault="00611F0E" w:rsidP="0051365E">
      <w:pPr>
        <w:spacing w:line="360" w:lineRule="auto"/>
        <w:jc w:val="both"/>
        <w:rPr>
          <w:rFonts w:ascii="Times New Roman" w:hAnsi="Times New Roman" w:cs="Times New Roman"/>
          <w:sz w:val="28"/>
          <w:szCs w:val="28"/>
        </w:rPr>
      </w:pPr>
      <w:r w:rsidRPr="0051365E">
        <w:rPr>
          <w:rFonts w:ascii="Times New Roman" w:hAnsi="Times New Roman" w:cs="Times New Roman"/>
          <w:sz w:val="28"/>
          <w:szCs w:val="28"/>
        </w:rPr>
        <w:fldChar w:fldCharType="begin"/>
      </w:r>
      <w:r w:rsidRPr="0051365E">
        <w:rPr>
          <w:rFonts w:ascii="Times New Roman" w:hAnsi="Times New Roman" w:cs="Times New Roman"/>
          <w:sz w:val="28"/>
          <w:szCs w:val="28"/>
        </w:rPr>
        <w:instrText xml:space="preserve"> HYPERLINK "https://osvita.diia.gov.ua/digigram" </w:instrText>
      </w:r>
      <w:r w:rsidRPr="0051365E">
        <w:rPr>
          <w:rFonts w:ascii="Times New Roman" w:hAnsi="Times New Roman" w:cs="Times New Roman"/>
          <w:sz w:val="28"/>
          <w:szCs w:val="28"/>
        </w:rPr>
      </w:r>
      <w:r w:rsidRPr="0051365E">
        <w:rPr>
          <w:rFonts w:ascii="Times New Roman" w:hAnsi="Times New Roman" w:cs="Times New Roman"/>
          <w:sz w:val="28"/>
          <w:szCs w:val="28"/>
        </w:rPr>
        <w:fldChar w:fldCharType="separate"/>
      </w:r>
      <w:r w:rsidRPr="0051365E">
        <w:rPr>
          <w:rStyle w:val="a3"/>
          <w:rFonts w:ascii="Times New Roman" w:hAnsi="Times New Roman" w:cs="Times New Roman"/>
          <w:sz w:val="28"/>
          <w:szCs w:val="28"/>
        </w:rPr>
        <w:t>https://osvita.diia.gov.ua/digigram</w:t>
      </w:r>
      <w:r w:rsidRPr="0051365E">
        <w:rPr>
          <w:rFonts w:ascii="Times New Roman" w:hAnsi="Times New Roman" w:cs="Times New Roman"/>
          <w:sz w:val="28"/>
          <w:szCs w:val="28"/>
        </w:rPr>
        <w:fldChar w:fldCharType="end"/>
      </w:r>
    </w:p>
    <w:sectPr w:rsidR="00611F0E" w:rsidRPr="0051365E"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0263"/>
    <w:multiLevelType w:val="multilevel"/>
    <w:tmpl w:val="9C12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45076"/>
    <w:multiLevelType w:val="multilevel"/>
    <w:tmpl w:val="227A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16"/>
    <w:rsid w:val="00037226"/>
    <w:rsid w:val="000A5C37"/>
    <w:rsid w:val="00100356"/>
    <w:rsid w:val="003276F5"/>
    <w:rsid w:val="00340E4F"/>
    <w:rsid w:val="00415027"/>
    <w:rsid w:val="0051365E"/>
    <w:rsid w:val="00611F0E"/>
    <w:rsid w:val="006A0536"/>
    <w:rsid w:val="007B6700"/>
    <w:rsid w:val="00B478E8"/>
    <w:rsid w:val="00C7117E"/>
    <w:rsid w:val="00E30516"/>
    <w:rsid w:val="00F7469C"/>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D894"/>
  <w15:chartTrackingRefBased/>
  <w15:docId w15:val="{FBF22E67-B246-4EAB-AD02-3FFA050C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516"/>
    <w:pPr>
      <w:widowControl w:val="0"/>
      <w:spacing w:after="0" w:line="240" w:lineRule="auto"/>
    </w:pPr>
    <w:rPr>
      <w:rFonts w:ascii="Arial Unicode MS" w:eastAsia="Arial Unicode MS" w:hAnsi="Arial Unicode MS" w:cs="Arial Unicode MS"/>
      <w:color w:val="000000"/>
      <w:sz w:val="24"/>
      <w:szCs w:val="24"/>
      <w:lang w:eastAsia="uk-UA"/>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0516"/>
    <w:rPr>
      <w:color w:val="0563C1" w:themeColor="hyperlink"/>
      <w:u w:val="single"/>
    </w:rPr>
  </w:style>
  <w:style w:type="character" w:styleId="a4">
    <w:name w:val="Unresolved Mention"/>
    <w:basedOn w:val="a0"/>
    <w:uiPriority w:val="99"/>
    <w:semiHidden/>
    <w:unhideWhenUsed/>
    <w:rsid w:val="00E30516"/>
    <w:rPr>
      <w:color w:val="605E5C"/>
      <w:shd w:val="clear" w:color="auto" w:fill="E1DFDD"/>
    </w:rPr>
  </w:style>
  <w:style w:type="character" w:styleId="a5">
    <w:name w:val="FollowedHyperlink"/>
    <w:basedOn w:val="a0"/>
    <w:uiPriority w:val="99"/>
    <w:semiHidden/>
    <w:unhideWhenUsed/>
    <w:rsid w:val="003276F5"/>
    <w:rPr>
      <w:color w:val="954F72" w:themeColor="followedHyperlink"/>
      <w:u w:val="single"/>
    </w:rPr>
  </w:style>
  <w:style w:type="paragraph" w:styleId="a6">
    <w:name w:val="Normal (Web)"/>
    <w:basedOn w:val="a"/>
    <w:uiPriority w:val="99"/>
    <w:semiHidden/>
    <w:unhideWhenUsed/>
    <w:rsid w:val="003276F5"/>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93887">
      <w:bodyDiv w:val="1"/>
      <w:marLeft w:val="0"/>
      <w:marRight w:val="0"/>
      <w:marTop w:val="0"/>
      <w:marBottom w:val="0"/>
      <w:divBdr>
        <w:top w:val="none" w:sz="0" w:space="0" w:color="auto"/>
        <w:left w:val="none" w:sz="0" w:space="0" w:color="auto"/>
        <w:bottom w:val="none" w:sz="0" w:space="0" w:color="auto"/>
        <w:right w:val="none" w:sz="0" w:space="0" w:color="auto"/>
      </w:divBdr>
      <w:divsChild>
        <w:div w:id="676350141">
          <w:marLeft w:val="0"/>
          <w:marRight w:val="0"/>
          <w:marTop w:val="0"/>
          <w:marBottom w:val="0"/>
          <w:divBdr>
            <w:top w:val="none" w:sz="0" w:space="0" w:color="auto"/>
            <w:left w:val="none" w:sz="0" w:space="0" w:color="auto"/>
            <w:bottom w:val="none" w:sz="0" w:space="0" w:color="auto"/>
            <w:right w:val="none" w:sz="0" w:space="0" w:color="auto"/>
          </w:divBdr>
        </w:div>
        <w:div w:id="131405098">
          <w:marLeft w:val="0"/>
          <w:marRight w:val="0"/>
          <w:marTop w:val="0"/>
          <w:marBottom w:val="0"/>
          <w:divBdr>
            <w:top w:val="none" w:sz="0" w:space="0" w:color="auto"/>
            <w:left w:val="none" w:sz="0" w:space="0" w:color="auto"/>
            <w:bottom w:val="none" w:sz="0" w:space="0" w:color="auto"/>
            <w:right w:val="none" w:sz="0" w:space="0" w:color="auto"/>
          </w:divBdr>
          <w:divsChild>
            <w:div w:id="470097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7056">
      <w:bodyDiv w:val="1"/>
      <w:marLeft w:val="0"/>
      <w:marRight w:val="0"/>
      <w:marTop w:val="0"/>
      <w:marBottom w:val="0"/>
      <w:divBdr>
        <w:top w:val="none" w:sz="0" w:space="0" w:color="auto"/>
        <w:left w:val="none" w:sz="0" w:space="0" w:color="auto"/>
        <w:bottom w:val="none" w:sz="0" w:space="0" w:color="auto"/>
        <w:right w:val="none" w:sz="0" w:space="0" w:color="auto"/>
      </w:divBdr>
    </w:div>
    <w:div w:id="513766359">
      <w:bodyDiv w:val="1"/>
      <w:marLeft w:val="0"/>
      <w:marRight w:val="0"/>
      <w:marTop w:val="0"/>
      <w:marBottom w:val="0"/>
      <w:divBdr>
        <w:top w:val="none" w:sz="0" w:space="0" w:color="auto"/>
        <w:left w:val="none" w:sz="0" w:space="0" w:color="auto"/>
        <w:bottom w:val="none" w:sz="0" w:space="0" w:color="auto"/>
        <w:right w:val="none" w:sz="0" w:space="0" w:color="auto"/>
      </w:divBdr>
      <w:divsChild>
        <w:div w:id="1485396703">
          <w:marLeft w:val="0"/>
          <w:marRight w:val="0"/>
          <w:marTop w:val="0"/>
          <w:marBottom w:val="0"/>
          <w:divBdr>
            <w:top w:val="none" w:sz="0" w:space="0" w:color="auto"/>
            <w:left w:val="none" w:sz="0" w:space="0" w:color="auto"/>
            <w:bottom w:val="none" w:sz="0" w:space="0" w:color="auto"/>
            <w:right w:val="none" w:sz="0" w:space="0" w:color="auto"/>
          </w:divBdr>
        </w:div>
        <w:div w:id="1088766494">
          <w:marLeft w:val="0"/>
          <w:marRight w:val="0"/>
          <w:marTop w:val="0"/>
          <w:marBottom w:val="0"/>
          <w:divBdr>
            <w:top w:val="none" w:sz="0" w:space="0" w:color="auto"/>
            <w:left w:val="none" w:sz="0" w:space="0" w:color="auto"/>
            <w:bottom w:val="none" w:sz="0" w:space="0" w:color="auto"/>
            <w:right w:val="none" w:sz="0" w:space="0" w:color="auto"/>
          </w:divBdr>
        </w:div>
      </w:divsChild>
    </w:div>
    <w:div w:id="584726952">
      <w:bodyDiv w:val="1"/>
      <w:marLeft w:val="0"/>
      <w:marRight w:val="0"/>
      <w:marTop w:val="0"/>
      <w:marBottom w:val="0"/>
      <w:divBdr>
        <w:top w:val="none" w:sz="0" w:space="0" w:color="auto"/>
        <w:left w:val="none" w:sz="0" w:space="0" w:color="auto"/>
        <w:bottom w:val="none" w:sz="0" w:space="0" w:color="auto"/>
        <w:right w:val="none" w:sz="0" w:space="0" w:color="auto"/>
      </w:divBdr>
    </w:div>
    <w:div w:id="681589112">
      <w:bodyDiv w:val="1"/>
      <w:marLeft w:val="0"/>
      <w:marRight w:val="0"/>
      <w:marTop w:val="0"/>
      <w:marBottom w:val="0"/>
      <w:divBdr>
        <w:top w:val="none" w:sz="0" w:space="0" w:color="auto"/>
        <w:left w:val="none" w:sz="0" w:space="0" w:color="auto"/>
        <w:bottom w:val="none" w:sz="0" w:space="0" w:color="auto"/>
        <w:right w:val="none" w:sz="0" w:space="0" w:color="auto"/>
      </w:divBdr>
    </w:div>
    <w:div w:id="1025403995">
      <w:bodyDiv w:val="1"/>
      <w:marLeft w:val="0"/>
      <w:marRight w:val="0"/>
      <w:marTop w:val="0"/>
      <w:marBottom w:val="0"/>
      <w:divBdr>
        <w:top w:val="none" w:sz="0" w:space="0" w:color="auto"/>
        <w:left w:val="none" w:sz="0" w:space="0" w:color="auto"/>
        <w:bottom w:val="none" w:sz="0" w:space="0" w:color="auto"/>
        <w:right w:val="none" w:sz="0" w:space="0" w:color="auto"/>
      </w:divBdr>
    </w:div>
    <w:div w:id="1199002283">
      <w:bodyDiv w:val="1"/>
      <w:marLeft w:val="0"/>
      <w:marRight w:val="0"/>
      <w:marTop w:val="0"/>
      <w:marBottom w:val="0"/>
      <w:divBdr>
        <w:top w:val="none" w:sz="0" w:space="0" w:color="auto"/>
        <w:left w:val="none" w:sz="0" w:space="0" w:color="auto"/>
        <w:bottom w:val="none" w:sz="0" w:space="0" w:color="auto"/>
        <w:right w:val="none" w:sz="0" w:space="0" w:color="auto"/>
      </w:divBdr>
    </w:div>
    <w:div w:id="1368600045">
      <w:bodyDiv w:val="1"/>
      <w:marLeft w:val="0"/>
      <w:marRight w:val="0"/>
      <w:marTop w:val="0"/>
      <w:marBottom w:val="0"/>
      <w:divBdr>
        <w:top w:val="none" w:sz="0" w:space="0" w:color="auto"/>
        <w:left w:val="none" w:sz="0" w:space="0" w:color="auto"/>
        <w:bottom w:val="none" w:sz="0" w:space="0" w:color="auto"/>
        <w:right w:val="none" w:sz="0" w:space="0" w:color="auto"/>
      </w:divBdr>
    </w:div>
    <w:div w:id="1519347536">
      <w:bodyDiv w:val="1"/>
      <w:marLeft w:val="0"/>
      <w:marRight w:val="0"/>
      <w:marTop w:val="0"/>
      <w:marBottom w:val="0"/>
      <w:divBdr>
        <w:top w:val="none" w:sz="0" w:space="0" w:color="auto"/>
        <w:left w:val="none" w:sz="0" w:space="0" w:color="auto"/>
        <w:bottom w:val="none" w:sz="0" w:space="0" w:color="auto"/>
        <w:right w:val="none" w:sz="0" w:space="0" w:color="auto"/>
      </w:divBdr>
      <w:divsChild>
        <w:div w:id="1984121689">
          <w:marLeft w:val="0"/>
          <w:marRight w:val="0"/>
          <w:marTop w:val="0"/>
          <w:marBottom w:val="0"/>
          <w:divBdr>
            <w:top w:val="none" w:sz="0" w:space="0" w:color="auto"/>
            <w:left w:val="none" w:sz="0" w:space="0" w:color="auto"/>
            <w:bottom w:val="none" w:sz="0" w:space="0" w:color="auto"/>
            <w:right w:val="none" w:sz="0" w:space="0" w:color="auto"/>
          </w:divBdr>
        </w:div>
        <w:div w:id="402023340">
          <w:marLeft w:val="0"/>
          <w:marRight w:val="0"/>
          <w:marTop w:val="0"/>
          <w:marBottom w:val="0"/>
          <w:divBdr>
            <w:top w:val="none" w:sz="0" w:space="0" w:color="auto"/>
            <w:left w:val="none" w:sz="0" w:space="0" w:color="auto"/>
            <w:bottom w:val="none" w:sz="0" w:space="0" w:color="auto"/>
            <w:right w:val="none" w:sz="0" w:space="0" w:color="auto"/>
          </w:divBdr>
        </w:div>
      </w:divsChild>
    </w:div>
    <w:div w:id="1740668053">
      <w:bodyDiv w:val="1"/>
      <w:marLeft w:val="0"/>
      <w:marRight w:val="0"/>
      <w:marTop w:val="0"/>
      <w:marBottom w:val="0"/>
      <w:divBdr>
        <w:top w:val="none" w:sz="0" w:space="0" w:color="auto"/>
        <w:left w:val="none" w:sz="0" w:space="0" w:color="auto"/>
        <w:bottom w:val="none" w:sz="0" w:space="0" w:color="auto"/>
        <w:right w:val="none" w:sz="0" w:space="0" w:color="auto"/>
      </w:divBdr>
      <w:divsChild>
        <w:div w:id="1249268788">
          <w:marLeft w:val="0"/>
          <w:marRight w:val="0"/>
          <w:marTop w:val="120"/>
          <w:marBottom w:val="0"/>
          <w:divBdr>
            <w:top w:val="none" w:sz="0" w:space="0" w:color="auto"/>
            <w:left w:val="none" w:sz="0" w:space="0" w:color="auto"/>
            <w:bottom w:val="none" w:sz="0" w:space="0" w:color="auto"/>
            <w:right w:val="none" w:sz="0" w:space="0" w:color="auto"/>
          </w:divBdr>
        </w:div>
      </w:divsChild>
    </w:div>
    <w:div w:id="2120903368">
      <w:bodyDiv w:val="1"/>
      <w:marLeft w:val="0"/>
      <w:marRight w:val="0"/>
      <w:marTop w:val="0"/>
      <w:marBottom w:val="0"/>
      <w:divBdr>
        <w:top w:val="none" w:sz="0" w:space="0" w:color="auto"/>
        <w:left w:val="none" w:sz="0" w:space="0" w:color="auto"/>
        <w:bottom w:val="none" w:sz="0" w:space="0" w:color="auto"/>
        <w:right w:val="none" w:sz="0" w:space="0" w:color="auto"/>
      </w:divBdr>
      <w:divsChild>
        <w:div w:id="1504517221">
          <w:marLeft w:val="0"/>
          <w:marRight w:val="0"/>
          <w:marTop w:val="0"/>
          <w:marBottom w:val="0"/>
          <w:divBdr>
            <w:top w:val="none" w:sz="0" w:space="0" w:color="auto"/>
            <w:left w:val="none" w:sz="0" w:space="0" w:color="auto"/>
            <w:bottom w:val="none" w:sz="0" w:space="0" w:color="auto"/>
            <w:right w:val="none" w:sz="0" w:space="0" w:color="auto"/>
          </w:divBdr>
        </w:div>
        <w:div w:id="1832212052">
          <w:marLeft w:val="0"/>
          <w:marRight w:val="0"/>
          <w:marTop w:val="0"/>
          <w:marBottom w:val="0"/>
          <w:divBdr>
            <w:top w:val="none" w:sz="0" w:space="0" w:color="auto"/>
            <w:left w:val="none" w:sz="0" w:space="0" w:color="auto"/>
            <w:bottom w:val="none" w:sz="0" w:space="0" w:color="auto"/>
            <w:right w:val="none" w:sz="0" w:space="0" w:color="auto"/>
          </w:divBdr>
        </w:div>
        <w:div w:id="1083573371">
          <w:marLeft w:val="0"/>
          <w:marRight w:val="0"/>
          <w:marTop w:val="0"/>
          <w:marBottom w:val="0"/>
          <w:divBdr>
            <w:top w:val="none" w:sz="0" w:space="0" w:color="auto"/>
            <w:left w:val="none" w:sz="0" w:space="0" w:color="auto"/>
            <w:bottom w:val="none" w:sz="0" w:space="0" w:color="auto"/>
            <w:right w:val="none" w:sz="0" w:space="0" w:color="auto"/>
          </w:divBdr>
        </w:div>
      </w:divsChild>
    </w:div>
    <w:div w:id="2130583885">
      <w:bodyDiv w:val="1"/>
      <w:marLeft w:val="0"/>
      <w:marRight w:val="0"/>
      <w:marTop w:val="0"/>
      <w:marBottom w:val="0"/>
      <w:divBdr>
        <w:top w:val="none" w:sz="0" w:space="0" w:color="auto"/>
        <w:left w:val="none" w:sz="0" w:space="0" w:color="auto"/>
        <w:bottom w:val="none" w:sz="0" w:space="0" w:color="auto"/>
        <w:right w:val="none" w:sz="0" w:space="0" w:color="auto"/>
      </w:divBdr>
      <w:divsChild>
        <w:div w:id="123477893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jrc.ec.europa.eu/repository/handle/JRC128415" TargetMode="External"/><Relationship Id="rId13" Type="http://schemas.openxmlformats.org/officeDocument/2006/relationships/hyperlink" Target="https://publications.jrc.ec.europa.eu/repository/handle/JRC143072" TargetMode="External"/><Relationship Id="rId18" Type="http://schemas.openxmlformats.org/officeDocument/2006/relationships/hyperlink" Target="https://digital-strategy.ec.europa.eu/en/policies/digital-decade-policy-programme" TargetMode="External"/><Relationship Id="rId26" Type="http://schemas.openxmlformats.org/officeDocument/2006/relationships/hyperlink" Target="https://www.kmu.gov.ua/news/mincifra-zapuskaye-cifrogram-nacionalnij-test-na-cifrovu-gramotnist" TargetMode="External"/><Relationship Id="rId3" Type="http://schemas.openxmlformats.org/officeDocument/2006/relationships/settings" Target="settings.xml"/><Relationship Id="rId21" Type="http://schemas.openxmlformats.org/officeDocument/2006/relationships/hyperlink" Target="https://digital-strategy.ec.europa.eu/en/policies/strategy-better-internet-kids" TargetMode="External"/><Relationship Id="rId7" Type="http://schemas.openxmlformats.org/officeDocument/2006/relationships/hyperlink" Target="https://publications.jrc.ec.europa.eu/repository/handle/JRC106281" TargetMode="External"/><Relationship Id="rId12" Type="http://schemas.openxmlformats.org/officeDocument/2006/relationships/hyperlink" Target="https://op.europa.eu/en/publication-detail/-/publication/59721dc6-a0aa-11ef-85f0-01aa75ed71a1" TargetMode="External"/><Relationship Id="rId17" Type="http://schemas.openxmlformats.org/officeDocument/2006/relationships/hyperlink" Target="https://eur-lex.europa.eu/legal-content/EN/TXT/?uri=OJ:JOC_2023_023_R_0001" TargetMode="External"/><Relationship Id="rId25" Type="http://schemas.openxmlformats.org/officeDocument/2006/relationships/hyperlink" Target="https://digital-strategy.ec.europa.eu/en/policies/regulatory-framework-ai" TargetMode="External"/><Relationship Id="rId2" Type="http://schemas.openxmlformats.org/officeDocument/2006/relationships/styles" Target="styles.xml"/><Relationship Id="rId16" Type="http://schemas.openxmlformats.org/officeDocument/2006/relationships/hyperlink" Target="https://eur-lex.europa.eu/legal-content/EN/TXT/?uri=uriserv:OJ.C_.2018.189.01.0001.01.ENG&amp;toc=OJ:C:2018:189:TOC" TargetMode="External"/><Relationship Id="rId20" Type="http://schemas.openxmlformats.org/officeDocument/2006/relationships/hyperlink" Target="https://op.europa.eu/webpub/empl/european-pillar-of-social-rights/en/" TargetMode="External"/><Relationship Id="rId1" Type="http://schemas.openxmlformats.org/officeDocument/2006/relationships/numbering" Target="numbering.xml"/><Relationship Id="rId6" Type="http://schemas.openxmlformats.org/officeDocument/2006/relationships/hyperlink" Target="https://publications.jrc.ec.europa.eu/repository/handle/JRC101254" TargetMode="External"/><Relationship Id="rId11" Type="http://schemas.openxmlformats.org/officeDocument/2006/relationships/hyperlink" Target="https://ec.europa.eu/eurostat/statistics-explained/index.php?oldid=628712" TargetMode="External"/><Relationship Id="rId24" Type="http://schemas.openxmlformats.org/officeDocument/2006/relationships/hyperlink" Target="https://digital-markets-act.ec.europa.eu/about-dma_en" TargetMode="External"/><Relationship Id="rId5" Type="http://schemas.openxmlformats.org/officeDocument/2006/relationships/hyperlink" Target="https://publications.jrc.ec.europa.eu/repository/handle/JRC83167" TargetMode="External"/><Relationship Id="rId15" Type="http://schemas.openxmlformats.org/officeDocument/2006/relationships/hyperlink" Target="https://publications.jrc.ec.europa.eu/repository/handle/JRC143430" TargetMode="External"/><Relationship Id="rId23" Type="http://schemas.openxmlformats.org/officeDocument/2006/relationships/hyperlink" Target="https://commission.europa.eu/strategy-and-policy/priorities-2019-2024/europe-fit-digital-age/digital-services-act_en" TargetMode="External"/><Relationship Id="rId28" Type="http://schemas.openxmlformats.org/officeDocument/2006/relationships/theme" Target="theme/theme1.xml"/><Relationship Id="rId10" Type="http://schemas.openxmlformats.org/officeDocument/2006/relationships/hyperlink" Target="https://commission.europa.eu/about/departments-and-executive-agencies/employment-social-affairs-and-inclusion_en" TargetMode="External"/><Relationship Id="rId19" Type="http://schemas.openxmlformats.org/officeDocument/2006/relationships/hyperlink" Target="https://commission.europa.eu/topics/eu-competitiveness/union-skills_en" TargetMode="External"/><Relationship Id="rId4" Type="http://schemas.openxmlformats.org/officeDocument/2006/relationships/webSettings" Target="webSettings.xml"/><Relationship Id="rId9" Type="http://schemas.openxmlformats.org/officeDocument/2006/relationships/hyperlink" Target="https://commission.europa.eu/about/departments-and-executive-agencies/joint-research-centre_en" TargetMode="External"/><Relationship Id="rId14" Type="http://schemas.openxmlformats.org/officeDocument/2006/relationships/hyperlink" Target="https://publications.jrc.ec.europa.eu/repository/handle/JRC143072" TargetMode="External"/><Relationship Id="rId22" Type="http://schemas.openxmlformats.org/officeDocument/2006/relationships/hyperlink" Target="https://www.consilium.europa.eu/en/policies/data-protection-regula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12</Pages>
  <Words>14863</Words>
  <Characters>8473</Characters>
  <Application>Microsoft Office Word</Application>
  <DocSecurity>0</DocSecurity>
  <Lines>70</Lines>
  <Paragraphs>46</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    Контекст політики</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4</cp:revision>
  <dcterms:created xsi:type="dcterms:W3CDTF">2026-01-31T08:13:00Z</dcterms:created>
  <dcterms:modified xsi:type="dcterms:W3CDTF">2026-01-31T10:28:00Z</dcterms:modified>
</cp:coreProperties>
</file>