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26" w:rsidRDefault="00D1043A" w:rsidP="005F127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8E2E98">
        <w:rPr>
          <w:rStyle w:val="10"/>
          <w:rFonts w:ascii="Times New Roman" w:hAnsi="Times New Roman" w:cs="Times New Roman"/>
          <w:b/>
          <w:sz w:val="28"/>
          <w:szCs w:val="28"/>
        </w:rPr>
        <w:t>Комплексні</w:t>
      </w:r>
      <w:proofErr w:type="spellEnd"/>
      <w:r w:rsidRPr="008E2E98">
        <w:rPr>
          <w:rStyle w:val="10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2E98">
        <w:rPr>
          <w:rStyle w:val="10"/>
          <w:rFonts w:ascii="Times New Roman" w:hAnsi="Times New Roman" w:cs="Times New Roman"/>
          <w:b/>
          <w:sz w:val="28"/>
          <w:szCs w:val="28"/>
        </w:rPr>
        <w:t>добрива</w:t>
      </w:r>
      <w:proofErr w:type="spellEnd"/>
      <w:r w:rsidRPr="00D1043A">
        <w:rPr>
          <w:rFonts w:ascii="Times New Roman" w:hAnsi="Times New Roman" w:cs="Times New Roman"/>
          <w:sz w:val="28"/>
          <w:szCs w:val="28"/>
        </w:rPr>
        <w:t xml:space="preserve"> </w:t>
      </w:r>
      <w:r w:rsidR="008E2E9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10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43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10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43A">
        <w:rPr>
          <w:rFonts w:ascii="Times New Roman" w:hAnsi="Times New Roman" w:cs="Times New Roman"/>
          <w:sz w:val="28"/>
          <w:szCs w:val="28"/>
        </w:rPr>
        <w:t>добрива</w:t>
      </w:r>
      <w:proofErr w:type="spellEnd"/>
      <w:r w:rsidRPr="00D10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43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0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43A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D1043A">
        <w:rPr>
          <w:rFonts w:ascii="Times New Roman" w:hAnsi="Times New Roman" w:cs="Times New Roman"/>
          <w:sz w:val="28"/>
          <w:szCs w:val="28"/>
        </w:rPr>
        <w:t xml:space="preserve"> два, три і </w:t>
      </w:r>
      <w:proofErr w:type="spellStart"/>
      <w:r w:rsidRPr="00D1043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10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43A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D10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43A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D1043A">
        <w:rPr>
          <w:rFonts w:ascii="Times New Roman" w:hAnsi="Times New Roman" w:cs="Times New Roman"/>
          <w:sz w:val="28"/>
          <w:szCs w:val="28"/>
        </w:rPr>
        <w:t xml:space="preserve"> (азот, фосфор, </w:t>
      </w:r>
      <w:proofErr w:type="spellStart"/>
      <w:r w:rsidRPr="00D1043A">
        <w:rPr>
          <w:rFonts w:ascii="Times New Roman" w:hAnsi="Times New Roman" w:cs="Times New Roman"/>
          <w:sz w:val="28"/>
          <w:szCs w:val="28"/>
        </w:rPr>
        <w:t>калій</w:t>
      </w:r>
      <w:proofErr w:type="spellEnd"/>
      <w:r w:rsidRPr="00D10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43A">
        <w:rPr>
          <w:rFonts w:ascii="Times New Roman" w:hAnsi="Times New Roman" w:cs="Times New Roman"/>
          <w:sz w:val="28"/>
          <w:szCs w:val="28"/>
        </w:rPr>
        <w:t>мікроелементи</w:t>
      </w:r>
      <w:proofErr w:type="spellEnd"/>
      <w:r w:rsidRPr="00D1043A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9827" w:type="dxa"/>
        <w:tblInd w:w="-5" w:type="dxa"/>
        <w:tblLook w:val="04A0" w:firstRow="1" w:lastRow="0" w:firstColumn="1" w:lastColumn="0" w:noHBand="0" w:noVBand="1"/>
      </w:tblPr>
      <w:tblGrid>
        <w:gridCol w:w="2355"/>
        <w:gridCol w:w="2662"/>
        <w:gridCol w:w="2390"/>
        <w:gridCol w:w="2420"/>
      </w:tblGrid>
      <w:tr w:rsidR="00D1043A" w:rsidRPr="00D1043A" w:rsidTr="00F657C1">
        <w:trPr>
          <w:trHeight w:val="359"/>
        </w:trPr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3A" w:rsidRPr="00D1043A" w:rsidRDefault="00D1043A" w:rsidP="004E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0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Комплексні</w:t>
            </w:r>
            <w:proofErr w:type="spellEnd"/>
            <w:r w:rsidRPr="00D10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0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добрива</w:t>
            </w:r>
            <w:proofErr w:type="spellEnd"/>
          </w:p>
        </w:tc>
      </w:tr>
      <w:tr w:rsidR="00D1043A" w:rsidRPr="00D1043A" w:rsidTr="007931E3">
        <w:trPr>
          <w:trHeight w:val="17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3A" w:rsidRPr="00D1043A" w:rsidRDefault="00D1043A" w:rsidP="005F1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0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Змішані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3A" w:rsidRPr="00D1043A" w:rsidRDefault="00D1043A" w:rsidP="005F1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0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Складнозмішані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3A" w:rsidRPr="00D1043A" w:rsidRDefault="00D1043A" w:rsidP="005F1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0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Складні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3A" w:rsidRPr="00D1043A" w:rsidRDefault="00D1043A" w:rsidP="005F1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0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Рідкі</w:t>
            </w:r>
            <w:proofErr w:type="spellEnd"/>
          </w:p>
        </w:tc>
      </w:tr>
      <w:tr w:rsidR="00F657C1" w:rsidRPr="00D1043A" w:rsidTr="007931E3">
        <w:trPr>
          <w:trHeight w:val="17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7C1" w:rsidRPr="007931E3" w:rsidRDefault="00F657C1" w:rsidP="005F1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6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сухі</w:t>
            </w:r>
            <w:proofErr w:type="spellEnd"/>
            <w:r w:rsidRPr="00F6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механічні</w:t>
            </w:r>
            <w:proofErr w:type="spellEnd"/>
            <w:r w:rsidRPr="00F6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суміші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7C1" w:rsidRPr="00D1043A" w:rsidRDefault="00F657C1" w:rsidP="005F1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отримують</w:t>
            </w:r>
            <w:proofErr w:type="spellEnd"/>
            <w:r w:rsidRPr="00F6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6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присутності</w:t>
            </w:r>
            <w:proofErr w:type="spellEnd"/>
            <w:r w:rsidRPr="00F6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рідкої</w:t>
            </w:r>
            <w:proofErr w:type="spellEnd"/>
            <w:r w:rsidRPr="00F6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фази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7C1" w:rsidRPr="00D1043A" w:rsidRDefault="00F657C1" w:rsidP="005F1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отримують</w:t>
            </w:r>
            <w:proofErr w:type="spellEnd"/>
            <w:r w:rsidRPr="00F6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6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результаті</w:t>
            </w:r>
            <w:proofErr w:type="spellEnd"/>
            <w:r w:rsidRPr="00F6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хімічної</w:t>
            </w:r>
            <w:proofErr w:type="spellEnd"/>
            <w:r w:rsidRPr="00F6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реакції</w:t>
            </w:r>
            <w:proofErr w:type="spellEnd"/>
            <w:r w:rsidRPr="00F6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6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заводській</w:t>
            </w:r>
            <w:proofErr w:type="spellEnd"/>
            <w:r w:rsidR="004E1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6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апаратурі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7C1" w:rsidRPr="007931E3" w:rsidRDefault="007931E3" w:rsidP="005F1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розчини або суспензії</w:t>
            </w:r>
          </w:p>
        </w:tc>
      </w:tr>
    </w:tbl>
    <w:p w:rsidR="00D1043A" w:rsidRDefault="00D1043A" w:rsidP="005F127B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43A" w:rsidRPr="00D1043A" w:rsidRDefault="00D1043A" w:rsidP="005F127B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0C32">
        <w:rPr>
          <w:rStyle w:val="10"/>
          <w:rFonts w:ascii="Times New Roman" w:hAnsi="Times New Roman" w:cs="Times New Roman"/>
          <w:b/>
          <w:sz w:val="28"/>
          <w:szCs w:val="28"/>
        </w:rPr>
        <w:t>Змішані</w:t>
      </w:r>
      <w:proofErr w:type="spellEnd"/>
      <w:r w:rsidRPr="00800C32">
        <w:rPr>
          <w:rStyle w:val="10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0C32">
        <w:rPr>
          <w:rStyle w:val="10"/>
          <w:rFonts w:ascii="Times New Roman" w:hAnsi="Times New Roman" w:cs="Times New Roman"/>
          <w:b/>
          <w:sz w:val="28"/>
          <w:szCs w:val="28"/>
        </w:rPr>
        <w:t>мінеральні</w:t>
      </w:r>
      <w:proofErr w:type="spellEnd"/>
      <w:r w:rsidRPr="00800C32">
        <w:rPr>
          <w:rStyle w:val="10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0C32">
        <w:rPr>
          <w:rStyle w:val="10"/>
          <w:rFonts w:ascii="Times New Roman" w:hAnsi="Times New Roman" w:cs="Times New Roman"/>
          <w:b/>
          <w:sz w:val="28"/>
          <w:szCs w:val="28"/>
        </w:rPr>
        <w:t>добрива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добувають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механічним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змішуванням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інколи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простих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добрив (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гранульованих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порошкоподібних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1043A" w:rsidRPr="00D1043A" w:rsidRDefault="00D1043A" w:rsidP="005F127B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змішаних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добрив треба правильно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підбирати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компоненти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призвести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добрив у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зволоження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злежування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поживних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переходу у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важкодоступні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043A" w:rsidRDefault="00D1043A" w:rsidP="005F127B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04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Антагонізм</w:t>
      </w:r>
      <w:proofErr w:type="spellEnd"/>
      <w:r w:rsidRPr="00D104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добрив</w:t>
      </w:r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втрата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поживних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погіршення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властивостей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добрив у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небажаних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хімічних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</w:p>
    <w:p w:rsidR="005F127B" w:rsidRDefault="005F127B" w:rsidP="005F127B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можна змішувати суперфосфат з аміачною селітрою, при цьому утворюється досить гігроскопічний нітрат кальцію:</w:t>
      </w:r>
    </w:p>
    <w:p w:rsidR="005F127B" w:rsidRPr="005F127B" w:rsidRDefault="005F127B" w:rsidP="005F127B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2NH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4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NO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 xml:space="preserve">3 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+ </w:t>
      </w:r>
      <w:proofErr w:type="gramStart"/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Ca(</w:t>
      </w:r>
      <w:proofErr w:type="gramEnd"/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PO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4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*H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O = </w:t>
      </w:r>
      <w:r w:rsidRPr="005F12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Ca(NO</w:t>
      </w:r>
      <w:r w:rsidRPr="005F127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3</w:t>
      </w:r>
      <w:r w:rsidRPr="005F12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  <w:r w:rsidRPr="005F127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2</w:t>
      </w:r>
      <w:r w:rsidRPr="005F12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+ 2NH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4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PO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4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 H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O.</w:t>
      </w:r>
    </w:p>
    <w:p w:rsidR="005F127B" w:rsidRDefault="005F127B" w:rsidP="005F127B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зволожу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перетворюється на липку масу.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Наявна в суперфосфаті фосфорна кислота реагує з аміачною селітрою з утворенням азотної кислоти, що розкладається до оксидів:</w:t>
      </w:r>
    </w:p>
    <w:p w:rsidR="005F127B" w:rsidRPr="005D1338" w:rsidRDefault="005F127B" w:rsidP="005F127B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2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HNO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3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NO + NO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 O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 H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F127B" w:rsidRDefault="005F127B" w:rsidP="005F127B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Тому суперфосфат з аміачною селітрою змішують лише в суху погоду перед внесенням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127B" w:rsidRDefault="005F127B" w:rsidP="005F127B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змішуванні суперфосфату з сульфатом амонію суміш спочатку розігрівається і зволожується:</w:t>
      </w:r>
    </w:p>
    <w:p w:rsidR="005F127B" w:rsidRPr="005F127B" w:rsidRDefault="005F127B" w:rsidP="005F127B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gramStart"/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Ca(</w:t>
      </w:r>
      <w:proofErr w:type="gramEnd"/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PO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4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*H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O + (NH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4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SO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4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NH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4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PO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4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 CaSO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4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 H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5F1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O.</w:t>
      </w:r>
    </w:p>
    <w:p w:rsidR="005F127B" w:rsidRDefault="005F127B" w:rsidP="005F127B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 цементація суміші з утворенням гіпсу:</w:t>
      </w:r>
    </w:p>
    <w:p w:rsidR="005F127B" w:rsidRDefault="005F127B" w:rsidP="005F127B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CaSO</w:t>
      </w:r>
      <w:r w:rsidRPr="00AF41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AF41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CaSO</w:t>
      </w:r>
      <w:r w:rsidRPr="00AF41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AF41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5F127B" w:rsidRDefault="005F127B" w:rsidP="005F127B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тому суміш подрібнюють і просіюють перед внесенням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127B" w:rsidRPr="005F127B" w:rsidRDefault="005F127B" w:rsidP="005F127B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рекомендується змішувати амонійні добрива з лужними, оскільки можливі втрати аміаку. Якщо компонентом суміші є карбамід слід враховувати його високу реакційну здатність, особливо з хлоридами (хлорид амонію – гігроскопічний, призводить до злипання і злежування суміші).</w:t>
      </w:r>
    </w:p>
    <w:p w:rsidR="00D1043A" w:rsidRDefault="00D1043A" w:rsidP="005F127B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04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Синергізм</w:t>
      </w:r>
      <w:proofErr w:type="spellEnd"/>
      <w:r w:rsidRPr="00D104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добрив</w:t>
      </w:r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підвищена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агрохімічної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порівняно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сумою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ефектів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одержаних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добрива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</w:t>
      </w:r>
      <w:proofErr w:type="spellEnd"/>
      <w:r w:rsidRPr="00D1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043A" w:rsidRDefault="00D1043A" w:rsidP="005F127B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також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здатність утворювати суміші з добрими агрохімічними і фізичними властивостями без виникнення шкідливих хімічних процесів.</w:t>
      </w:r>
    </w:p>
    <w:p w:rsidR="00AF4157" w:rsidRDefault="00442BD1" w:rsidP="005F127B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Найкращі компоненти для змішаних сумішей – амофос та інші складні добрива, що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малогигроскопічні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зберігають сипучість і забезпечують високу концентрацію поживних речовин. Виготовлення сумішей з складних добрив дає велику економію під час зберігання, транспортування та внесення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42BD1" w:rsidRDefault="00442BD1" w:rsidP="005F127B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Розрахунки кількості окремих добрив при виготовленні сумішей проводять за формулою:</w:t>
      </w:r>
    </w:p>
    <w:p w:rsidR="00442BD1" w:rsidRDefault="00442BD1" w:rsidP="005F127B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a/b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42BD1" w:rsidRDefault="00442BD1" w:rsidP="005F127B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 Д – доза добрив у фізичній масі, ц/га, а – доза добрив у поживній речовині, кг/га,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вміст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поживной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речовини в добриві, %.</w:t>
      </w:r>
    </w:p>
    <w:p w:rsidR="005F127B" w:rsidRPr="005F127B" w:rsidRDefault="005F127B" w:rsidP="005F127B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F1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Таблиця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Допустимі варіанти змішування добрив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tbl>
      <w:tblPr>
        <w:tblW w:w="9064" w:type="dxa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4850"/>
        <w:gridCol w:w="3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0"/>
      </w:tblGrid>
      <w:tr w:rsidR="00F657C1" w:rsidRPr="005F127B" w:rsidTr="00F657C1">
        <w:trPr>
          <w:gridAfter w:val="1"/>
          <w:wAfter w:w="5" w:type="dxa"/>
          <w:trHeight w:val="650"/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Добриво</w:t>
            </w:r>
            <w:proofErr w:type="spellEnd"/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27B" w:rsidRDefault="005F127B" w:rsidP="00F657C1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27B" w:rsidRDefault="005F127B" w:rsidP="00F657C1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F127B" w:rsidRPr="005F127B" w:rsidTr="00F657C1">
        <w:trPr>
          <w:trHeight w:val="269"/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Сульфат </w:t>
            </w: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амонію</w:t>
            </w:r>
            <w:proofErr w:type="spellEnd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амофос</w:t>
            </w:r>
            <w:proofErr w:type="spellEnd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діамофос</w:t>
            </w:r>
            <w:proofErr w:type="spellEnd"/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5F127B" w:rsidRPr="005F127B" w:rsidTr="00F657C1">
        <w:trPr>
          <w:trHeight w:val="179"/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Аміачна</w:t>
            </w:r>
            <w:proofErr w:type="spellEnd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селітра</w:t>
            </w:r>
            <w:proofErr w:type="spellEnd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нітрофоска</w:t>
            </w:r>
            <w:proofErr w:type="spellEnd"/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5F127B" w:rsidRPr="005F127B" w:rsidTr="00F657C1">
        <w:trPr>
          <w:trHeight w:val="486"/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Калійна</w:t>
            </w:r>
            <w:proofErr w:type="spellEnd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натрієва</w:t>
            </w:r>
            <w:proofErr w:type="spellEnd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кальцієва</w:t>
            </w:r>
            <w:proofErr w:type="spellEnd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селітри</w:t>
            </w:r>
            <w:proofErr w:type="spellEnd"/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5F127B" w:rsidRPr="005F127B" w:rsidTr="00F657C1">
        <w:trPr>
          <w:trHeight w:val="112"/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</w:t>
            </w:r>
            <w:proofErr w:type="spellEnd"/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5F127B" w:rsidRPr="005F127B" w:rsidTr="00F657C1">
        <w:trPr>
          <w:trHeight w:val="306"/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Карбамід</w:t>
            </w:r>
            <w:proofErr w:type="spellEnd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сечовина</w:t>
            </w:r>
            <w:proofErr w:type="spellEnd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F127B" w:rsidRPr="005F127B" w:rsidTr="00F657C1">
        <w:trPr>
          <w:trHeight w:val="345"/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Суперфосфат (</w:t>
            </w: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</w:t>
            </w:r>
            <w:proofErr w:type="spellEnd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5F127B" w:rsidRPr="005F127B" w:rsidTr="00F657C1">
        <w:trPr>
          <w:trHeight w:val="524"/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Фосфорне</w:t>
            </w:r>
            <w:proofErr w:type="spellEnd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борошно</w:t>
            </w:r>
            <w:proofErr w:type="spellEnd"/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5F127B" w:rsidRPr="005F127B" w:rsidTr="00F657C1">
        <w:trPr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Преципітат</w:t>
            </w:r>
            <w:proofErr w:type="spellEnd"/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5F127B" w:rsidRPr="005F127B" w:rsidTr="00F657C1">
        <w:trPr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Томасшлак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5F127B" w:rsidRPr="005F127B" w:rsidTr="00F657C1">
        <w:trPr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Калійні</w:t>
            </w:r>
            <w:proofErr w:type="spellEnd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солі</w:t>
            </w:r>
            <w:proofErr w:type="spellEnd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хлорид </w:t>
            </w: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калію</w:t>
            </w:r>
            <w:proofErr w:type="spellEnd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сильвініт</w:t>
            </w:r>
            <w:proofErr w:type="spellEnd"/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5F127B" w:rsidRPr="005F127B" w:rsidTr="00F657C1">
        <w:trPr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Вапно</w:t>
            </w:r>
            <w:proofErr w:type="spellEnd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попіл</w:t>
            </w:r>
            <w:proofErr w:type="spellEnd"/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5F127B" w:rsidRPr="005F127B" w:rsidTr="00F657C1">
        <w:trPr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5F127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Гній</w:t>
            </w:r>
            <w:proofErr w:type="spellEnd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пташиний</w:t>
            </w:r>
            <w:proofErr w:type="spellEnd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послід</w:t>
            </w:r>
            <w:proofErr w:type="spellEnd"/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27B" w:rsidRPr="005F127B" w:rsidRDefault="005F127B" w:rsidP="00F657C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F127B" w:rsidRPr="005F127B" w:rsidRDefault="005F127B" w:rsidP="005F127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7B">
        <w:rPr>
          <w:rFonts w:ascii="Verdana" w:eastAsia="Times New Roman" w:hAnsi="Verdana" w:cs="Tahoma"/>
          <w:i/>
          <w:iCs/>
          <w:color w:val="424242"/>
          <w:sz w:val="20"/>
          <w:szCs w:val="20"/>
          <w:shd w:val="clear" w:color="auto" w:fill="F0FFF0"/>
          <w:lang w:eastAsia="ru-RU"/>
        </w:rPr>
        <w:t> </w:t>
      </w:r>
    </w:p>
    <w:p w:rsidR="005F127B" w:rsidRDefault="005F127B" w:rsidP="005F127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57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Умовні</w:t>
      </w:r>
      <w:proofErr w:type="spellEnd"/>
      <w:r w:rsidRPr="00F6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позначення</w:t>
      </w:r>
      <w:proofErr w:type="spellEnd"/>
      <w:r w:rsidRPr="00F657C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F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– </w:t>
      </w:r>
      <w:proofErr w:type="spellStart"/>
      <w:r w:rsidRPr="005F127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змішувати</w:t>
      </w:r>
      <w:proofErr w:type="spellEnd"/>
      <w:r w:rsidRPr="005F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5F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– </w:t>
      </w:r>
      <w:proofErr w:type="spellStart"/>
      <w:r w:rsidRPr="005F127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змішувати</w:t>
      </w:r>
      <w:proofErr w:type="spellEnd"/>
      <w:r w:rsidRPr="005F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5F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5F12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внесенням</w:t>
      </w:r>
      <w:proofErr w:type="spellEnd"/>
      <w:r w:rsidRPr="005F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 – </w:t>
      </w:r>
      <w:proofErr w:type="spellStart"/>
      <w:r w:rsidRPr="005F127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змішувати</w:t>
      </w:r>
      <w:proofErr w:type="spellEnd"/>
      <w:r w:rsidRPr="005F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F1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5F1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934" w:rsidRPr="005F127B" w:rsidRDefault="00527934" w:rsidP="005F127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934" w:rsidRDefault="00527934" w:rsidP="004E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0C32">
        <w:rPr>
          <w:rStyle w:val="10"/>
          <w:rFonts w:ascii="Times New Roman" w:hAnsi="Times New Roman" w:cs="Times New Roman"/>
          <w:b/>
          <w:sz w:val="28"/>
          <w:szCs w:val="28"/>
        </w:rPr>
        <w:t>Складнозмішані</w:t>
      </w:r>
      <w:proofErr w:type="spellEnd"/>
      <w:r w:rsidRPr="00800C32">
        <w:rPr>
          <w:rStyle w:val="10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0C32">
        <w:rPr>
          <w:rStyle w:val="10"/>
          <w:rFonts w:ascii="Times New Roman" w:hAnsi="Times New Roman" w:cs="Times New Roman"/>
          <w:b/>
          <w:sz w:val="28"/>
          <w:szCs w:val="28"/>
        </w:rPr>
        <w:t>добрива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виготовляють «мокрим» способом в результаті змішування порошкоподібних мінеральних добрив з рідкими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аміакати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кислоти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.). при цьому між компонентами суміші відбуваються хімічні реакції і утворюються складні суміші, які містять два і більше елементів живлення.</w:t>
      </w:r>
    </w:p>
    <w:p w:rsidR="004E1440" w:rsidRDefault="004E1440" w:rsidP="004E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1440" w:rsidRPr="004E1440" w:rsidRDefault="004E1440" w:rsidP="004E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C32">
        <w:rPr>
          <w:rStyle w:val="10"/>
          <w:rFonts w:ascii="Times New Roman" w:hAnsi="Times New Roman" w:cs="Times New Roman"/>
          <w:b/>
          <w:sz w:val="28"/>
          <w:szCs w:val="28"/>
        </w:rPr>
        <w:t>Складні добрива</w:t>
      </w:r>
      <w:r w:rsidRPr="004E1440">
        <w:rPr>
          <w:rFonts w:ascii="Times New Roman" w:hAnsi="Times New Roman" w:cs="Times New Roman"/>
          <w:sz w:val="28"/>
          <w:szCs w:val="28"/>
          <w:lang w:val="uk-UA"/>
        </w:rPr>
        <w:t xml:space="preserve"> містять кілька поживних елементів у складі однієї хімічної сполуки: амофос (NH4H2PO4), діамофос (NH4)2HPO4, калійна селітра (KNO3) та інші.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proofErr w:type="spellStart"/>
      <w:r w:rsidRPr="00F6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отримують</w:t>
      </w:r>
      <w:proofErr w:type="spellEnd"/>
      <w:r w:rsidRPr="00F6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6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F6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хімічної</w:t>
      </w:r>
      <w:proofErr w:type="spellEnd"/>
      <w:r w:rsidRPr="00F6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реакції</w:t>
      </w:r>
      <w:proofErr w:type="spellEnd"/>
      <w:r w:rsidRPr="00F6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6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6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апаратурі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Зазвичай </w:t>
      </w:r>
      <w:r w:rsidRPr="004E1440">
        <w:rPr>
          <w:rFonts w:ascii="Times New Roman" w:hAnsi="Times New Roman" w:cs="Times New Roman"/>
          <w:sz w:val="28"/>
          <w:szCs w:val="28"/>
          <w:lang w:val="uk-UA"/>
        </w:rPr>
        <w:t>складні добрива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дорожчі і більш ефективні.</w:t>
      </w:r>
      <w:r w:rsidR="0028548B">
        <w:rPr>
          <w:rFonts w:ascii="Times New Roman" w:hAnsi="Times New Roman" w:cs="Times New Roman"/>
          <w:sz w:val="28"/>
          <w:szCs w:val="28"/>
          <w:lang w:val="uk-UA"/>
        </w:rPr>
        <w:t xml:space="preserve"> Деякі з них наведені у таблиці 2.</w:t>
      </w:r>
    </w:p>
    <w:p w:rsidR="00527934" w:rsidRPr="00527934" w:rsidRDefault="00527934" w:rsidP="00527934">
      <w:pPr>
        <w:shd w:val="clear" w:color="auto" w:fill="FFFFFF"/>
        <w:spacing w:after="0" w:line="23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527934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28548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E14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1440" w:rsidRPr="004E14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Складні добрива</w:t>
      </w:r>
      <w:r w:rsidR="004E144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559"/>
        <w:gridCol w:w="1701"/>
        <w:gridCol w:w="4678"/>
      </w:tblGrid>
      <w:tr w:rsidR="00527934" w:rsidRPr="00527934" w:rsidTr="00527934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Добриво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Вміст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компонентів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ґрунт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сільськогосподарські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</w:p>
        </w:tc>
      </w:tr>
      <w:tr w:rsidR="00527934" w:rsidRPr="00527934" w:rsidTr="00527934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Складні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добрива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934" w:rsidRPr="00527934" w:rsidTr="00527934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Амофос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дигідрофосфат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амонію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(NН4Н2РО4)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11–12% N</w:t>
            </w:r>
          </w:p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46–60% Р2О5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Удобрюють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господарські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Особливо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цінне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вих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культур.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ґрунтах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каштанових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7934" w:rsidRPr="00527934" w:rsidTr="00527934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Діамофос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(NН2)2 НРО4 + NН4Н2РО4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16–18% N</w:t>
            </w:r>
          </w:p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46–48% Р2О5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Використовують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базисне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лення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змішаних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рив.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Вносять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ос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ному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цукрові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буряки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картоплю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чеві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зернові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вносять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сівбою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рядки та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гнізда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тивне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земах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27934" w:rsidRPr="00527934" w:rsidRDefault="00527934" w:rsidP="0052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559"/>
        <w:gridCol w:w="1701"/>
        <w:gridCol w:w="4741"/>
      </w:tblGrid>
      <w:tr w:rsidR="00527934" w:rsidRPr="00527934" w:rsidTr="00527934">
        <w:tc>
          <w:tcPr>
            <w:tcW w:w="1975" w:type="dxa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Калієва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селітра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калію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КNО3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 К2О</w:t>
            </w:r>
          </w:p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 N</w:t>
            </w:r>
          </w:p>
        </w:tc>
        <w:tc>
          <w:tcPr>
            <w:tcW w:w="4741" w:type="dxa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Високоефективна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картоплю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тютюн,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чі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цитрусові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Рекомендується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основного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сен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оранку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весною, а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підживлення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ріод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вегетації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7934" w:rsidRPr="00527934" w:rsidTr="00527934">
        <w:tc>
          <w:tcPr>
            <w:tcW w:w="1975" w:type="dxa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Метафосфати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калію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амонію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КРО4</w:t>
            </w:r>
          </w:p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NН4РО3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39,8% К2О</w:t>
            </w:r>
          </w:p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60,1% Р2О5</w:t>
            </w:r>
          </w:p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 N, 80% Р2О5</w:t>
            </w:r>
          </w:p>
        </w:tc>
        <w:tc>
          <w:tcPr>
            <w:tcW w:w="4741" w:type="dxa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Доцільно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вати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ґрунтах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кою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біологічною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ністю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основ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удобрення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7934" w:rsidRPr="00527934" w:rsidTr="00527934">
        <w:tc>
          <w:tcPr>
            <w:tcW w:w="1975" w:type="dxa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Поліфосфати</w:t>
            </w:r>
            <w:proofErr w:type="spellEnd"/>
          </w:p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Амонію</w:t>
            </w:r>
            <w:proofErr w:type="spellEnd"/>
          </w:p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Калію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(NН</w:t>
            </w:r>
            <w:proofErr w:type="gram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4)пН</w:t>
            </w:r>
            <w:proofErr w:type="gram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2РпО3п+1</w:t>
            </w:r>
          </w:p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К4Р2О7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16–17%N</w:t>
            </w:r>
          </w:p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60–61% Р2О5</w:t>
            </w:r>
          </w:p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 Р2О5</w:t>
            </w:r>
          </w:p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 К2О</w:t>
            </w:r>
          </w:p>
        </w:tc>
        <w:tc>
          <w:tcPr>
            <w:tcW w:w="4741" w:type="dxa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Високоефективний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кислих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вапнованих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ґрунтах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7934" w:rsidRPr="00527934" w:rsidTr="00527934">
        <w:tc>
          <w:tcPr>
            <w:tcW w:w="1975" w:type="dxa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Фосфат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магнію-амонію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МgNН4РО4·Н2О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 N</w:t>
            </w:r>
          </w:p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Р2О5</w:t>
            </w:r>
          </w:p>
          <w:p w:rsidR="00527934" w:rsidRPr="00527934" w:rsidRDefault="00527934" w:rsidP="0052793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17%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МgО</w:t>
            </w:r>
            <w:proofErr w:type="spellEnd"/>
          </w:p>
        </w:tc>
        <w:tc>
          <w:tcPr>
            <w:tcW w:w="4741" w:type="dxa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27934" w:rsidRPr="00527934" w:rsidRDefault="00527934" w:rsidP="00527934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Перспективне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стосування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піща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них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супіщаних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ґрун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тах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Вносити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основному </w:t>
            </w:r>
            <w:proofErr w:type="spellStart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удобренні</w:t>
            </w:r>
            <w:proofErr w:type="spellEnd"/>
            <w:r w:rsidRPr="0052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E1440" w:rsidRDefault="004E1440" w:rsidP="005F127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4E1440" w:rsidRPr="004E1440" w:rsidRDefault="004E1440" w:rsidP="004E144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0C32">
        <w:rPr>
          <w:rStyle w:val="10"/>
          <w:rFonts w:ascii="Times New Roman" w:hAnsi="Times New Roman" w:cs="Times New Roman"/>
          <w:b/>
          <w:sz w:val="28"/>
          <w:szCs w:val="28"/>
        </w:rPr>
        <w:t>Рідкі</w:t>
      </w:r>
      <w:proofErr w:type="spellEnd"/>
      <w:r w:rsidRPr="00800C32">
        <w:rPr>
          <w:rStyle w:val="10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0C32">
        <w:rPr>
          <w:rStyle w:val="10"/>
          <w:rFonts w:ascii="Times New Roman" w:hAnsi="Times New Roman" w:cs="Times New Roman"/>
          <w:b/>
          <w:sz w:val="28"/>
          <w:szCs w:val="28"/>
        </w:rPr>
        <w:t>комплексні</w:t>
      </w:r>
      <w:proofErr w:type="spellEnd"/>
      <w:r w:rsidRPr="00800C32">
        <w:rPr>
          <w:rStyle w:val="10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0C32">
        <w:rPr>
          <w:rStyle w:val="10"/>
          <w:rFonts w:ascii="Times New Roman" w:hAnsi="Times New Roman" w:cs="Times New Roman"/>
          <w:b/>
          <w:sz w:val="28"/>
          <w:szCs w:val="28"/>
        </w:rPr>
        <w:t>добрива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водні розчини або суспензій, що містять два, або більше поживних елементів у відповідному розчиннику.</w:t>
      </w:r>
    </w:p>
    <w:p w:rsidR="004E1440" w:rsidRPr="004E1440" w:rsidRDefault="004E1440" w:rsidP="004E1440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 w:rsidRPr="004E1440">
        <w:rPr>
          <w:rFonts w:eastAsiaTheme="minorHAnsi"/>
          <w:sz w:val="28"/>
          <w:szCs w:val="28"/>
          <w:lang w:val="uk-UA" w:eastAsia="en-US"/>
        </w:rPr>
        <w:t>Застосування РКД залежить від погодних умов, часу їх внесення та вирощуваної сільськогосподарської культури. Охолодження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4E1440">
        <w:rPr>
          <w:rFonts w:eastAsiaTheme="minorHAnsi"/>
          <w:sz w:val="28"/>
          <w:szCs w:val="28"/>
          <w:lang w:val="uk-UA" w:eastAsia="en-US"/>
        </w:rPr>
        <w:t>рідких добрив призводить до виділення твердої фази та утворення осаду, що утруднює їх використання.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4E1440">
        <w:rPr>
          <w:rFonts w:eastAsiaTheme="minorHAnsi"/>
          <w:sz w:val="28"/>
          <w:szCs w:val="28"/>
          <w:lang w:val="uk-UA" w:eastAsia="en-US"/>
        </w:rPr>
        <w:t xml:space="preserve">Рідкі комплексні добрива (РКД) можна рівномірно розподіляти і точно дозувати на поверхні ґрунту, повністю </w:t>
      </w:r>
      <w:proofErr w:type="spellStart"/>
      <w:r w:rsidRPr="004E1440">
        <w:rPr>
          <w:rFonts w:eastAsiaTheme="minorHAnsi"/>
          <w:sz w:val="28"/>
          <w:szCs w:val="28"/>
          <w:lang w:val="uk-UA" w:eastAsia="en-US"/>
        </w:rPr>
        <w:t>механізуватипроцеси</w:t>
      </w:r>
      <w:proofErr w:type="spellEnd"/>
      <w:r w:rsidRPr="004E1440">
        <w:rPr>
          <w:rFonts w:eastAsiaTheme="minorHAnsi"/>
          <w:sz w:val="28"/>
          <w:szCs w:val="28"/>
          <w:lang w:val="uk-UA" w:eastAsia="en-US"/>
        </w:rPr>
        <w:t>, які пов'язані з їх тр</w:t>
      </w:r>
      <w:r>
        <w:rPr>
          <w:rFonts w:eastAsiaTheme="minorHAnsi"/>
          <w:sz w:val="28"/>
          <w:szCs w:val="28"/>
          <w:lang w:val="uk-UA" w:eastAsia="en-US"/>
        </w:rPr>
        <w:t>анспортуванням, внесенням, знач</w:t>
      </w:r>
      <w:r w:rsidRPr="004E1440">
        <w:rPr>
          <w:rFonts w:eastAsiaTheme="minorHAnsi"/>
          <w:sz w:val="28"/>
          <w:szCs w:val="28"/>
          <w:lang w:val="uk-UA" w:eastAsia="en-US"/>
        </w:rPr>
        <w:t>но зменшити затрати праці.</w:t>
      </w:r>
      <w:r>
        <w:rPr>
          <w:rFonts w:eastAsiaTheme="minorHAnsi"/>
          <w:sz w:val="28"/>
          <w:szCs w:val="28"/>
          <w:lang w:val="uk-UA" w:eastAsia="en-US"/>
        </w:rPr>
        <w:t xml:space="preserve"> При потребі до складу РКД можна включати мікроелементи, деякі пестициди, стимулятори росту,</w:t>
      </w:r>
    </w:p>
    <w:p w:rsidR="004E1440" w:rsidRDefault="007931E3" w:rsidP="005F127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00C32">
        <w:rPr>
          <w:rFonts w:ascii="Times New Roman" w:hAnsi="Times New Roman" w:cs="Times New Roman"/>
          <w:i/>
          <w:sz w:val="28"/>
          <w:szCs w:val="28"/>
          <w:lang w:val="uk-UA"/>
        </w:rPr>
        <w:t>Суспендовані рідкі комплексні добрива (СРКД).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Концентрацію поживних речовин у РКД можна значно підвищити в результаті введення в розчин стабілізуючих добавок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тонкодисперсних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бентонітових та </w:t>
      </w:r>
      <w:proofErr w:type="spellStart"/>
      <w:r w:rsidR="00E2627B">
        <w:rPr>
          <w:rFonts w:ascii="Times New Roman" w:hAnsi="Times New Roman" w:cs="Times New Roman"/>
          <w:sz w:val="28"/>
          <w:szCs w:val="28"/>
          <w:lang w:val="uk-UA"/>
        </w:rPr>
        <w:t>палигорскітових</w:t>
      </w:r>
      <w:proofErr w:type="spellEnd"/>
      <w:r w:rsidR="00E2627B">
        <w:rPr>
          <w:rFonts w:ascii="Times New Roman" w:hAnsi="Times New Roman" w:cs="Times New Roman"/>
          <w:sz w:val="28"/>
          <w:szCs w:val="28"/>
          <w:lang w:val="uk-UA"/>
        </w:rPr>
        <w:t xml:space="preserve"> глин, кремнієвих кислот, фосфогіпсу тощо), що </w:t>
      </w:r>
      <w:proofErr w:type="spellStart"/>
      <w:r w:rsidR="00E2627B">
        <w:rPr>
          <w:rFonts w:ascii="Times New Roman" w:hAnsi="Times New Roman" w:cs="Times New Roman"/>
          <w:sz w:val="28"/>
          <w:szCs w:val="28"/>
          <w:lang w:val="uk-UA"/>
        </w:rPr>
        <w:t>запобцгають</w:t>
      </w:r>
      <w:proofErr w:type="spellEnd"/>
      <w:r w:rsidR="00E2627B">
        <w:rPr>
          <w:rFonts w:ascii="Times New Roman" w:hAnsi="Times New Roman" w:cs="Times New Roman"/>
          <w:sz w:val="28"/>
          <w:szCs w:val="28"/>
          <w:lang w:val="uk-UA"/>
        </w:rPr>
        <w:t xml:space="preserve"> пересиченню розчину і випаданню </w:t>
      </w:r>
      <w:proofErr w:type="spellStart"/>
      <w:r w:rsidR="00E2627B">
        <w:rPr>
          <w:rFonts w:ascii="Times New Roman" w:hAnsi="Times New Roman" w:cs="Times New Roman"/>
          <w:sz w:val="28"/>
          <w:szCs w:val="28"/>
          <w:lang w:val="uk-UA"/>
        </w:rPr>
        <w:t>осіду</w:t>
      </w:r>
      <w:proofErr w:type="spellEnd"/>
      <w:r w:rsidR="00E2627B">
        <w:rPr>
          <w:rFonts w:ascii="Times New Roman" w:hAnsi="Times New Roman" w:cs="Times New Roman"/>
          <w:sz w:val="28"/>
          <w:szCs w:val="28"/>
          <w:lang w:val="uk-UA"/>
        </w:rPr>
        <w:t xml:space="preserve">. Ці компоненти введені в розчин з розрахунку 10-20 кг на 1 т розчину, </w:t>
      </w:r>
      <w:proofErr w:type="spellStart"/>
      <w:r w:rsidR="00E2627B">
        <w:rPr>
          <w:rFonts w:ascii="Times New Roman" w:hAnsi="Times New Roman" w:cs="Times New Roman"/>
          <w:sz w:val="28"/>
          <w:szCs w:val="28"/>
          <w:lang w:val="uk-UA"/>
        </w:rPr>
        <w:t>забзпечують</w:t>
      </w:r>
      <w:proofErr w:type="spellEnd"/>
      <w:r w:rsidR="00E2627B">
        <w:rPr>
          <w:rFonts w:ascii="Times New Roman" w:hAnsi="Times New Roman" w:cs="Times New Roman"/>
          <w:sz w:val="28"/>
          <w:szCs w:val="28"/>
          <w:lang w:val="uk-UA"/>
        </w:rPr>
        <w:t xml:space="preserve"> високу їх в</w:t>
      </w:r>
      <w:r w:rsidR="00E2627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E2627B">
        <w:rPr>
          <w:rFonts w:ascii="Times New Roman" w:hAnsi="Times New Roman" w:cs="Times New Roman"/>
          <w:sz w:val="28"/>
          <w:szCs w:val="28"/>
          <w:lang w:val="uk-UA"/>
        </w:rPr>
        <w:t>язкість</w:t>
      </w:r>
      <w:proofErr w:type="spellEnd"/>
      <w:r w:rsidR="00E2627B">
        <w:rPr>
          <w:rFonts w:ascii="Times New Roman" w:hAnsi="Times New Roman" w:cs="Times New Roman"/>
          <w:sz w:val="28"/>
          <w:szCs w:val="28"/>
          <w:lang w:val="uk-UA"/>
        </w:rPr>
        <w:t xml:space="preserve"> протягом 10 діб.</w:t>
      </w:r>
    </w:p>
    <w:p w:rsidR="00E2627B" w:rsidRDefault="00E2627B" w:rsidP="005F127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Загальній вміст поживних речовин у СРКД може перевищувати 40% при різному співвідношенні головних елементів живлення, але такі добрива мають менш сприятливі фізичні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властивоств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Це густі, 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суспензії з густиною 1,4–1,5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г/см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1 Па*с. Вони досить легко загусають і розшаровуються. Тому виготовляти їх доцільно безпосередньо перед внесенням.</w:t>
      </w:r>
    </w:p>
    <w:p w:rsidR="00E2627B" w:rsidRPr="00E2627B" w:rsidRDefault="00E2627B" w:rsidP="005F127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агрономічною ефективністю РКД рівноцінні твердим мінеральним добривам. Більш ефективні РКД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поліфосфатами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районах поширення карбонатних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E2627B" w:rsidRPr="00E2627B" w:rsidSect="00D104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5E"/>
    <w:rsid w:val="0020205E"/>
    <w:rsid w:val="0028548B"/>
    <w:rsid w:val="00442BD1"/>
    <w:rsid w:val="004E1440"/>
    <w:rsid w:val="00527934"/>
    <w:rsid w:val="005D1338"/>
    <w:rsid w:val="005F127B"/>
    <w:rsid w:val="007931E3"/>
    <w:rsid w:val="007F179F"/>
    <w:rsid w:val="00800C32"/>
    <w:rsid w:val="008E2E98"/>
    <w:rsid w:val="00AF4157"/>
    <w:rsid w:val="00BA0A26"/>
    <w:rsid w:val="00D1043A"/>
    <w:rsid w:val="00D224CC"/>
    <w:rsid w:val="00E2627B"/>
    <w:rsid w:val="00F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AE5A7-7816-4B08-BB3D-D5C23201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2E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2E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0A26"/>
  </w:style>
  <w:style w:type="paragraph" w:styleId="a4">
    <w:name w:val="header"/>
    <w:basedOn w:val="a"/>
    <w:link w:val="a5"/>
    <w:uiPriority w:val="99"/>
    <w:semiHidden/>
    <w:unhideWhenUsed/>
    <w:rsid w:val="00BA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A0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A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0A26"/>
    <w:rPr>
      <w:b/>
      <w:bCs/>
    </w:rPr>
  </w:style>
  <w:style w:type="character" w:styleId="a8">
    <w:name w:val="Emphasis"/>
    <w:basedOn w:val="a0"/>
    <w:uiPriority w:val="20"/>
    <w:qFormat/>
    <w:rsid w:val="00BA0A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E2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E2E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2E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2015-11-10T04:09:00Z</dcterms:created>
  <dcterms:modified xsi:type="dcterms:W3CDTF">2015-11-11T14:21:00Z</dcterms:modified>
</cp:coreProperties>
</file>