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5A" w:rsidRPr="001D5819" w:rsidRDefault="009B745A" w:rsidP="009B745A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>Тема 2. Становлення і розвиток рекламної діяльності</w:t>
      </w:r>
    </w:p>
    <w:p w:rsidR="009B745A" w:rsidRPr="001D5819" w:rsidRDefault="009B745A" w:rsidP="009B745A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>Витоки рекламної діяльності. Реклама в античному світі. Реклама в середні століття. Реклама Ренесансу і епохи Просвітництва. Реклама в період розвитку індустріального виробництва і капіталістичної економіки. Розвиток рекламної діяльності в Україні. Сучасний рекламний процес в Україні.</w:t>
      </w:r>
    </w:p>
    <w:p w:rsidR="00FB62F3" w:rsidRDefault="00FB62F3">
      <w:bookmarkStart w:id="0" w:name="_GoBack"/>
      <w:bookmarkEnd w:id="0"/>
    </w:p>
    <w:sectPr w:rsidR="00F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E"/>
    <w:rsid w:val="0074039E"/>
    <w:rsid w:val="009B745A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2017-01-24T20:19:00Z</dcterms:created>
  <dcterms:modified xsi:type="dcterms:W3CDTF">2017-01-24T20:20:00Z</dcterms:modified>
</cp:coreProperties>
</file>