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2" w:rsidRPr="001D5819" w:rsidRDefault="00CC03E2" w:rsidP="00CC03E2">
      <w:pPr>
        <w:pStyle w:val="a3"/>
        <w:jc w:val="center"/>
        <w:rPr>
          <w:b/>
          <w:sz w:val="28"/>
          <w:szCs w:val="28"/>
        </w:rPr>
      </w:pPr>
      <w:r w:rsidRPr="001D5819">
        <w:rPr>
          <w:b/>
          <w:sz w:val="28"/>
          <w:szCs w:val="28"/>
        </w:rPr>
        <w:t>Тема 4. Організаційні форми діяльності рекламних та PR служб</w:t>
      </w:r>
    </w:p>
    <w:p w:rsidR="00CC03E2" w:rsidRPr="001D5819" w:rsidRDefault="00CC03E2" w:rsidP="00CC03E2">
      <w:pPr>
        <w:pStyle w:val="a3"/>
        <w:jc w:val="both"/>
        <w:rPr>
          <w:sz w:val="28"/>
          <w:szCs w:val="28"/>
        </w:rPr>
      </w:pPr>
      <w:r w:rsidRPr="001D5819">
        <w:rPr>
          <w:sz w:val="28"/>
          <w:szCs w:val="28"/>
        </w:rPr>
        <w:t xml:space="preserve">Структура рекламної індустрії. Рекламодавці. Агентства з реклами та просування. Зовнішні ресурси. Цільова аудиторія. Форми рекламних та PR служб. Структура служб. Типологія агентств. Напрямки діяльності рекламних та PR служб. </w:t>
      </w:r>
    </w:p>
    <w:p w:rsidR="00FB62F3" w:rsidRDefault="00FB62F3">
      <w:bookmarkStart w:id="0" w:name="_GoBack"/>
      <w:bookmarkEnd w:id="0"/>
    </w:p>
    <w:sectPr w:rsidR="00FB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0D"/>
    <w:rsid w:val="00687C0D"/>
    <w:rsid w:val="00CC03E2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2017-01-24T20:20:00Z</dcterms:created>
  <dcterms:modified xsi:type="dcterms:W3CDTF">2017-01-24T20:20:00Z</dcterms:modified>
</cp:coreProperties>
</file>