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81" w:rsidRDefault="00043381" w:rsidP="00043381">
      <w:pPr>
        <w:tabs>
          <w:tab w:val="num" w:pos="993"/>
        </w:tabs>
        <w:jc w:val="center"/>
        <w:rPr>
          <w:b/>
          <w:szCs w:val="24"/>
        </w:rPr>
      </w:pPr>
      <w:r w:rsidRPr="001E58FD">
        <w:rPr>
          <w:b/>
          <w:szCs w:val="24"/>
        </w:rPr>
        <w:t>ІНДИВІДУАЛЬНІ ЗАВДАННЯ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ab/>
      </w:r>
      <w:r w:rsidRPr="00793374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Індивідуальне навчально-дослідне завдання студента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(надалі </w:t>
      </w:r>
      <w:proofErr w:type="spellStart"/>
      <w:r w:rsidRPr="00793374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є видом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позааудиторної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самостійної роботи студента навчального чи навчально-дослідницького характеру, яке виконуєт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ь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ся в процесі вивчення програмного матеріалу навчального курсу і завершується разом із склада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н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ням підсумкового іспиту чи заліку із даної навчальної дисципліни.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93374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Мета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Самостійне вивчення частини програмного матеріалу, систематизація, поглиблення, уз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а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гальнення, закріплення та практичне застосування знань студента з навчального курсу та розвиток навичок самостійної роботи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93374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Зміст</w:t>
      </w:r>
      <w:r w:rsidRPr="00793374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Завершена теоретична робота в межах навчальної програми курсу, яка виконується на о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с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нові знань, умінь і навичок, одержаних в процесі лекційних та семінарських занять, охоплює дек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і</w:t>
      </w:r>
      <w:r w:rsidRPr="00793374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лька тем або зміст навчального курсу в цілому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43381" w:rsidRPr="00793374" w:rsidRDefault="00043381" w:rsidP="00043381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93374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uk-UA"/>
        </w:rPr>
        <w:t xml:space="preserve">Порядок подання </w:t>
      </w: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uk-UA"/>
        </w:rPr>
        <w:t xml:space="preserve">до </w:t>
      </w:r>
      <w:r w:rsidRPr="00793374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uk-UA"/>
        </w:rPr>
        <w:t xml:space="preserve">захисту </w:t>
      </w:r>
      <w:proofErr w:type="spellStart"/>
      <w:r w:rsidRPr="00793374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Звіт про виконання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подається у вигляді скріпленого (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зшитого реферату 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 титульною сторі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н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кою стандартного зразка і внутрішнім заповненням із зазначенням всіх позицій змісту завдання (за об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ємом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до 10 арк.).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подається викладачу, який читає лекційний курс з даної дисципліни та приймає іспит або залік, не пізніше, ніж за 2 тижні до іспиту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або заліку.</w:t>
      </w:r>
    </w:p>
    <w:p w:rsidR="00043381" w:rsidRDefault="00043381" w:rsidP="00043381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Оцінка за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виставляється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одразу після захисту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, його презентації з обговоренням студ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нтами.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Передбачається 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захист завдання шляхом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презентації його групі – тривалість – 10 хв.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Оц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нка за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є обов</w:t>
      </w:r>
      <w:r w:rsidRPr="00D34D99">
        <w:rPr>
          <w:rFonts w:ascii="Times New Roman" w:hAnsi="Times New Roman" w:cs="Times New Roman"/>
          <w:color w:val="auto"/>
          <w:sz w:val="24"/>
          <w:szCs w:val="24"/>
          <w:lang w:val="uk-UA"/>
        </w:rPr>
        <w:t>’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язковим компонентом іспитової оцінки і враховується при проведенні підсу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м</w:t>
      </w:r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кової оцінки з навчального курсу. Питома вага </w:t>
      </w:r>
      <w:proofErr w:type="spellStart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ІНДЗ</w:t>
      </w:r>
      <w:proofErr w:type="spellEnd"/>
      <w:r w:rsidRPr="0079337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загальній оцінці з дисципліни, залежно від складності та змісту завдання становить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білів.</w:t>
      </w:r>
    </w:p>
    <w:p w:rsidR="00043381" w:rsidRPr="00793374" w:rsidRDefault="00043381" w:rsidP="00043381">
      <w:pPr>
        <w:pStyle w:val="text"/>
        <w:spacing w:before="0" w:beforeAutospacing="0" w:after="0" w:afterAutospacing="0"/>
        <w:rPr>
          <w:lang w:val="uk-UA"/>
        </w:rPr>
      </w:pPr>
    </w:p>
    <w:p w:rsidR="00043381" w:rsidRDefault="00043381" w:rsidP="00043381">
      <w:pPr>
        <w:tabs>
          <w:tab w:val="num" w:pos="993"/>
        </w:tabs>
        <w:rPr>
          <w:szCs w:val="24"/>
        </w:rPr>
      </w:pPr>
      <w:r>
        <w:rPr>
          <w:szCs w:val="24"/>
        </w:rPr>
        <w:t>Індивідуальні завдання з лабораторної імунології</w:t>
      </w:r>
    </w:p>
    <w:p w:rsidR="00043381" w:rsidRDefault="00043381" w:rsidP="00043381">
      <w:pPr>
        <w:tabs>
          <w:tab w:val="num" w:pos="993"/>
        </w:tabs>
        <w:rPr>
          <w:szCs w:val="24"/>
        </w:rPr>
      </w:pPr>
    </w:p>
    <w:p w:rsidR="00043381" w:rsidRPr="00DE56D7" w:rsidRDefault="00043381" w:rsidP="00043381">
      <w:pPr>
        <w:rPr>
          <w:szCs w:val="24"/>
        </w:rPr>
      </w:pPr>
      <w:r w:rsidRPr="001D28A6">
        <w:rPr>
          <w:b/>
          <w:i/>
          <w:szCs w:val="24"/>
        </w:rPr>
        <w:t>Підготувати презентації</w:t>
      </w:r>
      <w:r>
        <w:rPr>
          <w:szCs w:val="24"/>
        </w:rPr>
        <w:t xml:space="preserve"> з використанням пошуку інформації у рекомендованої літер</w:t>
      </w:r>
      <w:r>
        <w:rPr>
          <w:szCs w:val="24"/>
        </w:rPr>
        <w:t>а</w:t>
      </w:r>
      <w:r>
        <w:rPr>
          <w:szCs w:val="24"/>
        </w:rPr>
        <w:t xml:space="preserve">турі та  шляхом індивідуального пошуку в бібліотеці університету та </w:t>
      </w:r>
      <w:proofErr w:type="spellStart"/>
      <w:r>
        <w:rPr>
          <w:szCs w:val="24"/>
        </w:rPr>
        <w:t>інтернеті</w:t>
      </w:r>
      <w:proofErr w:type="spellEnd"/>
      <w:r>
        <w:rPr>
          <w:szCs w:val="24"/>
        </w:rPr>
        <w:t xml:space="preserve"> . </w:t>
      </w:r>
    </w:p>
    <w:p w:rsidR="00043381" w:rsidRDefault="00043381" w:rsidP="00043381">
      <w:pPr>
        <w:tabs>
          <w:tab w:val="num" w:pos="993"/>
        </w:tabs>
        <w:rPr>
          <w:szCs w:val="24"/>
        </w:rPr>
      </w:pPr>
      <w:r>
        <w:rPr>
          <w:szCs w:val="24"/>
        </w:rPr>
        <w:tab/>
        <w:t>Вибір теми для самостійної роботи - випадкова вибірка. Одну тему готують два студе</w:t>
      </w:r>
      <w:r>
        <w:rPr>
          <w:szCs w:val="24"/>
        </w:rPr>
        <w:t>н</w:t>
      </w:r>
      <w:r>
        <w:rPr>
          <w:szCs w:val="24"/>
        </w:rPr>
        <w:t>та.  При захисті вони повинні опонувати один одному, доповнювати, критично оцінювати пре</w:t>
      </w:r>
      <w:r>
        <w:rPr>
          <w:szCs w:val="24"/>
        </w:rPr>
        <w:t>д</w:t>
      </w:r>
      <w:r>
        <w:rPr>
          <w:szCs w:val="24"/>
        </w:rPr>
        <w:t>ставлений матеріал. Максимальна оцінка 20 білів. Презентації захищаються відповідно до розкладу, який узг</w:t>
      </w:r>
      <w:r>
        <w:rPr>
          <w:szCs w:val="24"/>
        </w:rPr>
        <w:t>о</w:t>
      </w:r>
      <w:r>
        <w:rPr>
          <w:szCs w:val="24"/>
        </w:rPr>
        <w:t>джено зі студентами.</w:t>
      </w:r>
    </w:p>
    <w:p w:rsidR="00043381" w:rsidRPr="001D28A6" w:rsidRDefault="00043381" w:rsidP="00043381">
      <w:pPr>
        <w:tabs>
          <w:tab w:val="num" w:pos="993"/>
        </w:tabs>
        <w:rPr>
          <w:b/>
          <w:szCs w:val="24"/>
        </w:rPr>
      </w:pPr>
    </w:p>
    <w:p w:rsidR="00043381" w:rsidRPr="001D28A6" w:rsidRDefault="00043381" w:rsidP="00043381">
      <w:pPr>
        <w:tabs>
          <w:tab w:val="num" w:pos="993"/>
        </w:tabs>
        <w:rPr>
          <w:b/>
          <w:szCs w:val="24"/>
        </w:rPr>
      </w:pPr>
      <w:r w:rsidRPr="001D28A6">
        <w:rPr>
          <w:b/>
          <w:szCs w:val="24"/>
        </w:rPr>
        <w:t>Теми</w:t>
      </w:r>
    </w:p>
    <w:p w:rsidR="00043381" w:rsidRDefault="00043381" w:rsidP="00043381">
      <w:pPr>
        <w:tabs>
          <w:tab w:val="num" w:pos="993"/>
        </w:tabs>
        <w:rPr>
          <w:szCs w:val="24"/>
        </w:rPr>
      </w:pPr>
    </w:p>
    <w:p w:rsidR="00043381" w:rsidRPr="00DE56D7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«Імунодіагностика  інфекцій, що передаються стат</w:t>
      </w:r>
      <w:r>
        <w:rPr>
          <w:szCs w:val="24"/>
        </w:rPr>
        <w:t>е</w:t>
      </w:r>
      <w:r>
        <w:rPr>
          <w:szCs w:val="24"/>
        </w:rPr>
        <w:t>вим шляхом»</w:t>
      </w:r>
    </w:p>
    <w:p w:rsidR="00043381" w:rsidRPr="00DE56D7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«Імунодіагностика грибкових інфекцій»</w:t>
      </w:r>
    </w:p>
    <w:p w:rsidR="00043381" w:rsidRPr="00DE56D7" w:rsidRDefault="00043381" w:rsidP="00043381">
      <w:pPr>
        <w:numPr>
          <w:ilvl w:val="0"/>
          <w:numId w:val="1"/>
        </w:numPr>
        <w:tabs>
          <w:tab w:val="num" w:pos="993"/>
        </w:tabs>
        <w:ind w:left="0" w:firstLine="0"/>
        <w:rPr>
          <w:szCs w:val="24"/>
        </w:rPr>
      </w:pPr>
      <w:r>
        <w:rPr>
          <w:szCs w:val="24"/>
        </w:rPr>
        <w:t>«Імунодіагностика  інфекційних захворювань»</w:t>
      </w:r>
    </w:p>
    <w:p w:rsidR="00043381" w:rsidRPr="00DE56D7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«Імунодіагностика вірусних інфекцій»</w:t>
      </w:r>
    </w:p>
    <w:p w:rsidR="00043381" w:rsidRPr="00DE56D7" w:rsidRDefault="00043381" w:rsidP="00043381">
      <w:pPr>
        <w:numPr>
          <w:ilvl w:val="0"/>
          <w:numId w:val="1"/>
        </w:numPr>
        <w:tabs>
          <w:tab w:val="num" w:pos="993"/>
        </w:tabs>
        <w:ind w:left="0" w:firstLine="0"/>
        <w:rPr>
          <w:szCs w:val="24"/>
        </w:rPr>
      </w:pPr>
      <w:r>
        <w:rPr>
          <w:szCs w:val="24"/>
        </w:rPr>
        <w:t>«Імунодіагностика автоімунних захворювань»</w:t>
      </w:r>
    </w:p>
    <w:p w:rsidR="00043381" w:rsidRPr="00DE56D7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 w:rsidRPr="00DE56D7">
        <w:rPr>
          <w:szCs w:val="24"/>
        </w:rPr>
        <w:t>«</w:t>
      </w:r>
      <w:r>
        <w:rPr>
          <w:szCs w:val="24"/>
        </w:rPr>
        <w:t xml:space="preserve">Імунодіагностика </w:t>
      </w:r>
      <w:r w:rsidRPr="00DE56D7">
        <w:rPr>
          <w:szCs w:val="24"/>
        </w:rPr>
        <w:t xml:space="preserve"> TORCH інфекцій»</w:t>
      </w:r>
    </w:p>
    <w:p w:rsidR="00043381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«Імунодіагностика алергійних реакцій негайного типу»</w:t>
      </w:r>
    </w:p>
    <w:p w:rsidR="00043381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 xml:space="preserve">«Імунодіагностика </w:t>
      </w:r>
      <w:proofErr w:type="spellStart"/>
      <w:r>
        <w:rPr>
          <w:szCs w:val="24"/>
        </w:rPr>
        <w:t>цитоксичних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алергійнх</w:t>
      </w:r>
      <w:proofErr w:type="spellEnd"/>
      <w:r>
        <w:rPr>
          <w:szCs w:val="24"/>
        </w:rPr>
        <w:t xml:space="preserve"> реакцій»</w:t>
      </w:r>
    </w:p>
    <w:p w:rsidR="00043381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 xml:space="preserve">«Імунодіагностика  </w:t>
      </w:r>
      <w:proofErr w:type="spellStart"/>
      <w:r>
        <w:rPr>
          <w:szCs w:val="24"/>
        </w:rPr>
        <w:t>імунокомплексних</w:t>
      </w:r>
      <w:proofErr w:type="spellEnd"/>
      <w:r>
        <w:rPr>
          <w:szCs w:val="24"/>
        </w:rPr>
        <w:t xml:space="preserve"> алергійних реакцій»</w:t>
      </w:r>
    </w:p>
    <w:p w:rsidR="00043381" w:rsidRPr="00DE56D7" w:rsidRDefault="00043381" w:rsidP="00043381">
      <w:pPr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«Імунодіагностика алергійних реакцій уповільненого типу»</w:t>
      </w:r>
    </w:p>
    <w:p w:rsidR="008C3C76" w:rsidRDefault="00043381"/>
    <w:sectPr w:rsidR="008C3C76" w:rsidSect="00F1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6FB"/>
    <w:multiLevelType w:val="hybridMultilevel"/>
    <w:tmpl w:val="9DB4715A"/>
    <w:lvl w:ilvl="0" w:tplc="B1F45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381"/>
    <w:rsid w:val="00043381"/>
    <w:rsid w:val="00226819"/>
    <w:rsid w:val="00714CB5"/>
    <w:rsid w:val="00F1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43381"/>
    <w:pPr>
      <w:spacing w:before="100" w:beforeAutospacing="1" w:after="100" w:afterAutospacing="1"/>
    </w:pPr>
    <w:rPr>
      <w:rFonts w:ascii="Arial" w:hAnsi="Arial" w:cs="Arial"/>
      <w:color w:val="333399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2017-01-26T13:43:00Z</dcterms:created>
  <dcterms:modified xsi:type="dcterms:W3CDTF">2017-01-26T13:44:00Z</dcterms:modified>
</cp:coreProperties>
</file>