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01D7F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Лекція №3</w:t>
      </w: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b/>
          <w:iCs/>
          <w:sz w:val="28"/>
          <w:szCs w:val="28"/>
          <w:lang w:val="ru-RU"/>
        </w:rPr>
        <w:t>Тема: Система екологічного моніторингу в контексті екологічного менеджменту.</w:t>
      </w:r>
    </w:p>
    <w:p w:rsid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sz w:val="28"/>
          <w:szCs w:val="28"/>
          <w:lang w:val="ru-RU"/>
        </w:rPr>
        <w:t>Місце моніторингу у системі екологічного менеджменту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показано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рисунку 1.4.</w:t>
      </w: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23388A9B" wp14:editId="4B2A23B7">
            <wp:simplePos x="0" y="0"/>
            <wp:positionH relativeFrom="column">
              <wp:posOffset>653416</wp:posOffset>
            </wp:positionH>
            <wp:positionV relativeFrom="paragraph">
              <wp:posOffset>92075</wp:posOffset>
            </wp:positionV>
            <wp:extent cx="333375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84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7F" w:rsidRDefault="00F01D7F" w:rsidP="004A36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D7F" w:rsidRDefault="00F01D7F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Е</w:t>
      </w:r>
    </w:p>
    <w:p w:rsidR="00F01D7F" w:rsidRDefault="00F01D7F" w:rsidP="004A3642">
      <w:pPr>
        <w:widowControl w:val="0"/>
        <w:autoSpaceDE w:val="0"/>
        <w:autoSpaceDN w:val="0"/>
        <w:adjustRightInd w:val="0"/>
        <w:spacing w:after="0" w:line="1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740"/>
      </w:tblGrid>
      <w:tr w:rsidR="00F01D7F" w:rsidTr="005F7358">
        <w:trPr>
          <w:trHeight w:val="29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У</w:t>
            </w:r>
          </w:p>
        </w:tc>
      </w:tr>
    </w:tbl>
    <w:p w:rsidR="00F01D7F" w:rsidRDefault="00F01D7F" w:rsidP="004A3642">
      <w:pPr>
        <w:widowControl w:val="0"/>
        <w:autoSpaceDE w:val="0"/>
        <w:autoSpaceDN w:val="0"/>
        <w:adjustRightInd w:val="0"/>
        <w:spacing w:after="0" w:line="5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F01D7F" w:rsidRDefault="00F01D7F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Н</w:t>
      </w:r>
    </w:p>
    <w:p w:rsidR="00F01D7F" w:rsidRDefault="00F01D7F" w:rsidP="004A3642">
      <w:pPr>
        <w:widowControl w:val="0"/>
        <w:autoSpaceDE w:val="0"/>
        <w:autoSpaceDN w:val="0"/>
        <w:adjustRightInd w:val="0"/>
        <w:spacing w:after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980"/>
        <w:gridCol w:w="880"/>
        <w:gridCol w:w="30"/>
      </w:tblGrid>
      <w:tr w:rsidR="00F01D7F" w:rsidTr="005F7358">
        <w:trPr>
          <w:trHeight w:val="139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1D7F" w:rsidTr="005F7358">
        <w:trPr>
          <w:trHeight w:val="270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   Б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1D7F" w:rsidTr="005F7358">
        <w:trPr>
          <w:trHeight w:val="194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D7F" w:rsidRDefault="00F01D7F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01D7F" w:rsidRDefault="00F01D7F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</w:p>
    <w:p w:rsidR="00F01D7F" w:rsidRPr="00BB3B9F" w:rsidRDefault="00F01D7F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ru-RU"/>
        </w:rPr>
      </w:pPr>
      <w:r w:rsidRPr="00BB3B9F">
        <w:rPr>
          <w:rFonts w:ascii="Times New Roman" w:hAnsi="Times New Roman" w:cs="Times New Roman"/>
          <w:sz w:val="32"/>
          <w:szCs w:val="32"/>
          <w:lang w:val="ru-RU"/>
        </w:rPr>
        <w:t>Рисунок 1.4 – Блок-схема системи екологічного менеджменту</w:t>
      </w:r>
      <w:r w:rsidR="001B78E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B3B9F">
        <w:rPr>
          <w:rFonts w:ascii="Times New Roman" w:hAnsi="Times New Roman" w:cs="Times New Roman"/>
          <w:sz w:val="32"/>
          <w:szCs w:val="32"/>
          <w:lang w:val="ru-RU"/>
        </w:rPr>
        <w:t>(Ізраель, 1984)</w:t>
      </w:r>
    </w:p>
    <w:p w:rsid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C00871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0087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0871">
        <w:rPr>
          <w:rFonts w:ascii="Times New Roman" w:hAnsi="Times New Roman" w:cs="Times New Roman"/>
          <w:sz w:val="28"/>
          <w:szCs w:val="28"/>
          <w:lang w:val="ru-RU"/>
        </w:rPr>
        <w:t>схем</w:t>
      </w:r>
      <w:proofErr w:type="gramEnd"/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і наведено умовно об’ єднані енергетичні та інформаційні потоки. Елемент біосфери з рівнем стану 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 під дією антропогенного</w:t>
      </w:r>
      <w:r w:rsidR="001B7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>впливу (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>) змінює свій стан</w:t>
      </w:r>
      <w:proofErr w:type="gramStart"/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proofErr w:type="gramEnd"/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→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C00871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1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>. За допомогою системи моніторингу (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) отримується «фотокартка» цього зміненого </w:t>
      </w:r>
      <w:proofErr w:type="gramStart"/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C00871">
        <w:rPr>
          <w:rFonts w:ascii="Times New Roman" w:hAnsi="Times New Roman" w:cs="Times New Roman"/>
          <w:sz w:val="28"/>
          <w:szCs w:val="28"/>
          <w:lang w:val="ru-RU"/>
        </w:rPr>
        <w:t>а, за можливості, і початкового) стану, виконується узагальнення даних, аналіз та оцінювання фактичного та прогнозованого стану. Ця інформація передається в блок управління (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 – блок прийняття </w:t>
      </w:r>
      <w:proofErr w:type="gramStart"/>
      <w:r w:rsidRPr="00C0087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00871">
        <w:rPr>
          <w:rFonts w:ascii="Times New Roman" w:hAnsi="Times New Roman" w:cs="Times New Roman"/>
          <w:sz w:val="28"/>
          <w:szCs w:val="28"/>
          <w:lang w:val="ru-RU"/>
        </w:rPr>
        <w:t xml:space="preserve">ішень). На </w:t>
      </w:r>
      <w:proofErr w:type="gramStart"/>
      <w:r w:rsidRPr="00C0087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00871">
        <w:rPr>
          <w:rFonts w:ascii="Times New Roman" w:hAnsi="Times New Roman" w:cs="Times New Roman"/>
          <w:sz w:val="28"/>
          <w:szCs w:val="28"/>
          <w:lang w:val="ru-RU"/>
        </w:rPr>
        <w:t>ідставі цієї інформації, в залежності від рівня науково-технічних розробок (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>), економічних можливостей (</w:t>
      </w:r>
      <w:r w:rsidRPr="00C0087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C00871">
        <w:rPr>
          <w:rFonts w:ascii="Times New Roman" w:hAnsi="Times New Roman" w:cs="Times New Roman"/>
          <w:sz w:val="28"/>
          <w:szCs w:val="28"/>
          <w:lang w:val="ru-RU"/>
        </w:rPr>
        <w:t>) та з урахуванням еколого-економічних оцінок, приймаються рішення з обмеження або припинення антропогенного впливу для профілактичного «зміцнення» або послідовного «лікування» даного елементу біосфери.</w:t>
      </w:r>
    </w:p>
    <w:p w:rsid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Фактори</w:t>
      </w:r>
      <w:proofErr w:type="gramStart"/>
      <w:r w:rsidRPr="00F01D7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,</w:t>
      </w:r>
      <w:proofErr w:type="gramEnd"/>
      <w:r w:rsidRPr="00F01D7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індикатори та показники, які досліджуються в системі моніторингу довкілля</w:t>
      </w:r>
    </w:p>
    <w:p w:rsidR="00F01D7F" w:rsidRPr="00F01D7F" w:rsidRDefault="00F01D7F" w:rsidP="004A36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При здійсненні моніторингу стану біосфери необхідно організувати досить представницьку мережу спостережень (вимірювань) за найбільш важливими факторами впливу і показниками стану навколишнього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природного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середовища. В залежності від конкретної задачі моніторингу ці фактори і показники можуть бути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>ізними.</w:t>
      </w: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sz w:val="28"/>
          <w:szCs w:val="28"/>
          <w:lang w:val="ru-RU"/>
        </w:rPr>
        <w:t>При визначенні індикаторі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показників слід шукати компроміс між достовірністю і доступністю інформації. При цьому втрати інформації мають бути мінімальними, а сам показник повинен забезпечувати: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23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– 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інформативність,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реальність і можливість практичної реалізації;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спрощення інформації таким чином,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щоб допомогти уповноваженим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особам приймати обґрунтовані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ішення, а громадськості – зрозуміти 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23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sz w:val="28"/>
          <w:szCs w:val="28"/>
          <w:lang w:val="ru-RU"/>
        </w:rPr>
        <w:t>проблему.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Показники спрощують складну реальність і є «вижимкою» інформації, отриманої в процесі добору та аналізу даних моніторингу.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>ільшість екологічних показників слід розглядати у нерозривному взаємозв’язку між собою.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22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Як правило, показники розробляють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F01D7F" w:rsidRDefault="00F01D7F" w:rsidP="004A3642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допомоги у виробленні оптимальної екологічної політики; 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25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F01D7F" w:rsidRDefault="00F01D7F" w:rsidP="004A3642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7F">
        <w:rPr>
          <w:rFonts w:ascii="Times New Roman" w:hAnsi="Times New Roman" w:cs="Times New Roman"/>
          <w:sz w:val="28"/>
          <w:szCs w:val="28"/>
        </w:rPr>
        <w:t xml:space="preserve">порівняння країн та регіонів; 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8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1D7F" w:rsidRPr="00F01D7F" w:rsidRDefault="00F01D7F" w:rsidP="004A3642">
      <w:pPr>
        <w:widowControl w:val="0"/>
        <w:numPr>
          <w:ilvl w:val="0"/>
          <w:numId w:val="1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7F">
        <w:rPr>
          <w:rFonts w:ascii="Times New Roman" w:hAnsi="Times New Roman" w:cs="Times New Roman"/>
          <w:sz w:val="28"/>
          <w:szCs w:val="28"/>
        </w:rPr>
        <w:t>формування</w:t>
      </w:r>
      <w:proofErr w:type="gramEnd"/>
      <w:r w:rsidRPr="00F01D7F">
        <w:rPr>
          <w:rFonts w:ascii="Times New Roman" w:hAnsi="Times New Roman" w:cs="Times New Roman"/>
          <w:sz w:val="28"/>
          <w:szCs w:val="28"/>
        </w:rPr>
        <w:t xml:space="preserve"> розуміння проблеми; вивчення взаємозв’язку з діяльністю промисловості, причинно-наслідкових зв’язків та синергізму. </w:t>
      </w: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критерії вибору показників повинні враховувати і їх політичне значення. В Європейській агенції з навколишнього середовища (ЄАНС; 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англ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F01D7F">
        <w:rPr>
          <w:rFonts w:ascii="Times New Roman" w:hAnsi="Times New Roman" w:cs="Times New Roman"/>
          <w:sz w:val="28"/>
          <w:szCs w:val="28"/>
        </w:rPr>
        <w:t>EEA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) виділяють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п’ять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типів інтегральних показників.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Описові показники (</w:t>
      </w:r>
      <w:r w:rsidRPr="00F01D7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).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Наприклад,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частка органічного землеробства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на всіх сільгоспугіддях, %.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Показники виконання (</w:t>
      </w:r>
      <w:r w:rsidRPr="00F01D7F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показники,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що характеризують хід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виконання намічених цілей (викиди парникових газів).</w:t>
      </w: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Показники ефективності (</w:t>
      </w:r>
      <w:r w:rsidRPr="00F01D7F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–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показники,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що характеризують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екологічну ефективність, наприклад,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>івень викидів на одиницю ВВП.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01D7F" w:rsidRPr="00F01D7F" w:rsidRDefault="00F01D7F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Показники політичної ефективності (</w:t>
      </w:r>
      <w:r w:rsidRPr="00F01D7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–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показники,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характеризують зв’язок змін навколишнього середовища з політичними заходами (реагування).</w:t>
      </w:r>
    </w:p>
    <w:p w:rsidR="00F01D7F" w:rsidRPr="00F01D7F" w:rsidRDefault="00F01D7F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F01D7F" w:rsidP="004A36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Сумарні показники добробуту (</w:t>
      </w:r>
      <w:r w:rsidRPr="00F01D7F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–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показники,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що характеризують</w:t>
      </w:r>
      <w:r w:rsidRPr="00F01D7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>розвиток суспільства, наприклад, показники сталого розвитку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Виходячи з основних задач системи моніторингу довкілля, необхідно , насамперед знаходити фактори , які призводять до найбільш серйозних, довгострокових змін у навколишньому середовищі (і джерела таких збурень), а також виявляти елементи біосфери, найбільш чутливі до таких збурень, або критичні ключові елементи, пошкодження яких може призводити до гибелі екосистем. Необхідно відмітити, що визначення </w:t>
      </w:r>
      <w:proofErr w:type="gramStart"/>
      <w:r w:rsidRPr="00F01D7F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>іоритетів для підсистем моніторингу при вирішенні різних задач може призвести до різних результатів для одного і того ж фактора збурення. Наприклад, збитки від збільшення СО</w:t>
      </w:r>
      <w:proofErr w:type="gramStart"/>
      <w:r w:rsidRPr="00F01D7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в атмосфері для деяких екосистем незначні, а в багатьох випадках збільшення СО</w:t>
      </w:r>
      <w:r w:rsidRPr="00F01D7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01D7F">
        <w:rPr>
          <w:rFonts w:ascii="Times New Roman" w:hAnsi="Times New Roman" w:cs="Times New Roman"/>
          <w:sz w:val="28"/>
          <w:szCs w:val="28"/>
          <w:lang w:val="ru-RU"/>
        </w:rPr>
        <w:t xml:space="preserve"> навіть корисне – воно сприяє збільшенню продуктивності рослин.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іншого боку, накопичення</w:t>
      </w:r>
      <w:r w:rsidR="001B78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78E2" w:rsidRPr="001B78E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1B78E2" w:rsidRPr="001B78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1B78E2"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призводить до парникового ефекту і можливих змін клімату з різними негативними наслідками для біосфери.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90242" w:rsidRDefault="001B78E2" w:rsidP="004A36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На першій нараді з моніторингу в Найробі (1974 р.) було розроблено метод, вибрано критерії та визначено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іоритетність різних забруднювальних речовин (табл. 1.3) . Знайдені пріоритети було розбито на вісім класів (чим вищий клас, тобто менший його порядковий номер, тим вищий пріоритет) з визначенням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середовища і типу програми вимірювань («І» — імпактний, «Р» — регі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ональний, «Б» — базовий і «Г» — глобальний)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4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Таблиця 1.3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Класифікація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>іоритетних забруднювачів за класами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пріоритетності (Ізраель, 1984)</w:t>
      </w: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984"/>
        <w:gridCol w:w="2957"/>
        <w:gridCol w:w="30"/>
      </w:tblGrid>
      <w:tr w:rsidR="001B78E2" w:rsidRPr="001B78E2" w:rsidTr="004A3642">
        <w:trPr>
          <w:trHeight w:val="2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Клас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Забруднювальна речовина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Середовище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t>програми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Діоксид сірки, завислі частинки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І, Р, 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4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Радіонукліди (</w:t>
            </w:r>
            <w:r w:rsidRPr="001B78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90</w:t>
            </w: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 xml:space="preserve">Sr + </w:t>
            </w:r>
            <w:r w:rsidRPr="001B78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137</w:t>
            </w: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І, 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1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- тропосфера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- стратосфера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ДДТ та інші хлорорганічні сполуки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Біота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І, 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Кадмій та його сполуки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Їжа, вода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1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Нітрати, нітрити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Питна вода,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Оксиди азоту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18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Ртуть та її сполуки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Їжа, вода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І, 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Свинець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Повітря, їжа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Діоксид вуглецю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18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Оксид вуглецю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Нафтовуглеводні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Морська вода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Р, 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Фториди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Свіжа вода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18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Азбест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Арсен (миш’як)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Питна вода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18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Мікротоксини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І, 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Мікробіологічні зараження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І, 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Реакційноспроможні забруднення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B78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8E2" w:rsidRPr="001B78E2" w:rsidTr="004A3642">
        <w:trPr>
          <w:trHeight w:val="1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8E2" w:rsidRPr="001B78E2" w:rsidRDefault="001B78E2" w:rsidP="004A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0" allowOverlap="1" wp14:anchorId="2AA9014B" wp14:editId="30A35D9C">
            <wp:simplePos x="0" y="0"/>
            <wp:positionH relativeFrom="column">
              <wp:posOffset>3383280</wp:posOffset>
            </wp:positionH>
            <wp:positionV relativeFrom="paragraph">
              <wp:posOffset>-490855</wp:posOffset>
            </wp:positionV>
            <wp:extent cx="6350" cy="6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8E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0" allowOverlap="1" wp14:anchorId="064AE877" wp14:editId="02C4D8F4">
            <wp:simplePos x="0" y="0"/>
            <wp:positionH relativeFrom="column">
              <wp:posOffset>4006215</wp:posOffset>
            </wp:positionH>
            <wp:positionV relativeFrom="paragraph">
              <wp:posOffset>-490855</wp:posOffset>
            </wp:positionV>
            <wp:extent cx="4445" cy="69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Якщо говорити про спостереження за </w:t>
      </w: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територіями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, то найвищий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іоритет мають міста та зони, з яких беруть питну воду. Серед </w:t>
      </w: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середовищ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вищий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іоритет мають атмосферне повітря та вода прісних водойм (особливо малопроточних). Для </w:t>
      </w: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повітря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найважливішими інгредієнтами є пил, оксиди сірки, вуглецю та азоту, важкі метали, бен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з(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а)пірен та пестициди. Для </w:t>
      </w: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води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– біогенні продукти,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феноли та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нафтопродукти. Серед </w:t>
      </w: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джерел забруднень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найвищий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>іоритет мають автомобільний транспорт,</w:t>
      </w: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ТЕС, підприємства кольорової металургії тощо.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Моніторинг охоплює спостереження за джерелами і факторами антропогенного впливу – хімічними, фізичними (випромінювання механічні дії) та біологічними, а також за ефектами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які викликають різні дії у навколишньому середовищі, в першу чергу за реакцією біологічних систем. Особливо поширеними вважаються 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>інтегральні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показники стану природних систем.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Інтегральними показниками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які характеризують зміни в</w:t>
      </w:r>
      <w:r w:rsidRPr="001B78E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екологічній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>івновазі, вважають такі: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збалансованість біологічної продуктивності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(відношення первинної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біологічної продуктивності до вторинної); 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швидкість утворення біологічної продукції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(відношення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біопродуктивності до загальної біомаси); </w:t>
      </w: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інтенсивність кругообі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гу б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>іогенних речовин.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організації спостережень за зміною стану екосистем необхідно, в першу чергу, приділяти увагу можливим порушенням і перебудовам в умовах ведення лісового господарства, землеробства та тваринництва.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Для здійснення моніторингу антропогенних змін природного середовища необхідно визначити найбільш представницькі види ознак і відгуків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екосистемі. Для цього необхідно вивчити характер відгуків елементів біосфери на збурення як за допомогою натурних, так і лабораторних експериментів, математичного моделювання та аналізу результатів польових спостережень.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Нижче наведено деякі правила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>ідбору показників для контролю за станом біологічних систем: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необхідно відбирати показники, що їх відносять тільки до процесів з гомеостатичними механізмами; </w:t>
      </w:r>
    </w:p>
    <w:p w:rsidR="001B78E2" w:rsidRPr="001B78E2" w:rsidRDefault="001B78E2" w:rsidP="004A364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необхідно надавати перевагу показникам, які характеризують неспецифічний відгук на збурювальний фактор; </w:t>
      </w:r>
    </w:p>
    <w:p w:rsidR="001B78E2" w:rsidRPr="001B78E2" w:rsidRDefault="001B78E2" w:rsidP="004A3642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необхідно надавати перевагу інтегральним показникам. 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>Вважається, що наявність норми за одними показниками і патологій за іншими, а також їх спі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ідношення можуть однозначно визначити «хворобу» біологічної системи. Оцінювання ефекту від шкідливого збурення можна звести до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ідбору єдиного показника стану екосистеми, який об’єднує окремі відгуки системи так званою </w:t>
      </w:r>
      <w:r w:rsidRPr="001B78E2">
        <w:rPr>
          <w:rFonts w:ascii="Times New Roman" w:hAnsi="Times New Roman" w:cs="Times New Roman"/>
          <w:i/>
          <w:iCs/>
          <w:sz w:val="28"/>
          <w:szCs w:val="28"/>
          <w:lang w:val="ru-RU"/>
        </w:rPr>
        <w:t>функцією бажаності.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Проведені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>ідження свідчать, що основну частку забруднень атмосферного повітря (до 85%) становлять діоксид сірки, пил, оксид вуглецю та оксиди азоту. Решта припадає на частку специфічних речовин, пов’язаних з роботою окремих галузей промисловості. Вони присутні у пові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і відносно невеликої кількості населених пунктів, де розміщено такі підприємства. До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таких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речовин відносять сірковуглець, хлор, сірководень, аміак, сполуки фтору, вуглеводень.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ід час моніторингу необхідно передбачати також проведення вимірювань, які характеризують стан середовища (мутність атмосфери, рН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водного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середовища), спостереження за рядом гідрометеорологічних величин, достатніх для інтерпретації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питань переносу, розсіювання та міграції забруднювальних речовин, сонячної радіації (в тому числі ультрафіолетового випромінювання).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Значною проблемою є забруднення повітря великих мі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 бенз(а)піреном – у деяких містах максимальні концентрації досягають 0,4– 0,7 мкг/м</w:t>
      </w:r>
      <w:r w:rsidRPr="001B78E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. Особливе місце займають важкі метали – концентрації свинцю в пові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>і багатьох міст досягають значних величин (до 4,5 мкг/м</w:t>
      </w:r>
      <w:r w:rsidRPr="001B78E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1B78E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B78E2" w:rsidRPr="001B78E2" w:rsidRDefault="001B78E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78E2" w:rsidRPr="001B78E2" w:rsidRDefault="001B78E2" w:rsidP="004A364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Основним джерелом забруднення відкритих водойм суші є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 xml:space="preserve">ічні води різних промислових підприємств, стоки комунальних господарств міст та поверхневі сільськогосподарські стоки. У воді </w:t>
      </w:r>
      <w:proofErr w:type="gramStart"/>
      <w:r w:rsidRPr="001B78E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78E2">
        <w:rPr>
          <w:rFonts w:ascii="Times New Roman" w:hAnsi="Times New Roman" w:cs="Times New Roman"/>
          <w:sz w:val="28"/>
          <w:szCs w:val="28"/>
          <w:lang w:val="ru-RU"/>
        </w:rPr>
        <w:t>ічок, озер та водосховищ спостерігаються нафтопродукти, феноли, залізо, мідь, цинк, важкі метали та інші шкідливі речовини.</w:t>
      </w:r>
    </w:p>
    <w:p w:rsidR="004A3642" w:rsidRDefault="004A3642" w:rsidP="004A3642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78E2" w:rsidRDefault="004A3642" w:rsidP="004A3642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4A3642">
        <w:rPr>
          <w:rFonts w:ascii="Times New Roman" w:hAnsi="Times New Roman" w:cs="Times New Roman"/>
          <w:b/>
          <w:bCs/>
          <w:sz w:val="32"/>
          <w:szCs w:val="32"/>
        </w:rPr>
        <w:t>Державна програма моніторингу довкілля України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</w:rPr>
        <w:t>В основу Державної системи моніторингу довкілля України, яка формується відповідно до Постанови Кабінету Міністрів від 30 березня 1998 р., № 391</w:t>
      </w:r>
      <w:r w:rsidRPr="004A36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A3642">
        <w:rPr>
          <w:rFonts w:ascii="Times New Roman" w:hAnsi="Times New Roman" w:cs="Times New Roman"/>
          <w:sz w:val="28"/>
          <w:szCs w:val="28"/>
        </w:rPr>
        <w:t xml:space="preserve">, покладено досвід гідрометеорологічних служб, а також результати аналізу існуючої інформації про забруднення природних середовищ.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Наукова концепція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ержавної системи моніторингу навколишнього природного середовища України була розроблена українськими вченими в кінці 80-х на початку 90-х років 20-го століття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3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>(Примак, 1992; Адаменко, 1993).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>Здійснення моніторингу окремих об`єктів довкілля регламентується низкою постанов Кабінету Міні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ів України, а саме: «Про затвердження Порядку організації та проведення моніторингу в галузі охорони атмосферного повітря» (від 09.03.1999 р., № 343), «Про затвердження Порядку здійснення державного моніторингу вод» (від 20.07.1996 р., № 815), «Про затвердження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про моніторинг земель» (від 20.08.1993 № 661), «Про затвердження Положення про моніторинг ґрунтів на землях сільськогосподарського призначення» (від 26.02.2004 р., № 51), а також розпорядженням Кабінету Міністрів України «Про схвалення Концепц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ії Д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ержавної програми проведення моніторингу навколишнього природного середовища» (від 31.12.2004 р. № 992-р) і низкою нормативно-методичних документів з питань моніторингу довкілля.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>Основні завдання державної системи моніторингу довкілля: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організація єдиної державної системи пунктів спостереження за всіма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компонентами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природного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середовища;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формування і налагодження автоматизованої системи збору,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обробки,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узагальнення і зберігання систематичної інформації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кількість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екологічний стан природних ресурсів (формування відповідних банків чи баз даних і систем управління ними);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–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оцінювання природно-ресурсного потенціалу та допустимого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івня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використання ресурсів;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інвентаризація джерел забруднення і вивчення ступеня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антропогенного</w:t>
      </w:r>
      <w:proofErr w:type="gramEnd"/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впливу на компоненти природного середовища;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–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розробка прогнозів можливих змін екологічної ситуації та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івня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здоров'я» довкілля;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розробка управлінських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ішень,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спрямованих на забезпечення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раціонального природокористування і сталого розвитку держави на всіх рівнях (локальному, регіональному і національному).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Для раціонального розміщення пунктів загальнодержавної служби 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9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моніторингу і визначення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іоритетних забруднювачів беруть до уваги: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7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відомості загального характеру про існуючі та можливі джерела забруднення (великі міста, індустріальні райони, крупні тваринницькі комплекси,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ідприємства в зоні унікальних природних об’єктів тощо);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результати спостережень минулих років за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івнями забруднень (більшою частиною експедиційних), які носять орієнтовний характер;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дані про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івні забруднення природних середовищ в сусідніх країнах та великих містах.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Державна система моніторингу довкілля – це відкрита інформаційна 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8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система,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іоритетами функціонування якої є збереження природних екосистем; відвернення кризових змін екологічного стану довкілля і запобігання надзвичайним екологічним ситуаціям. Державна система моніторингу довкілля України будується за ієрархічним принципом і має три організаційні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івні (рис. 1.5).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>Створення і функціонування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ержавної системи моніторингу здійснюється на принципах: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узгодженості нормативно-правового та організаційно-методичного забезпечення, сумісності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ічного, інформаційного і програмного забезпечення її складових частин;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систематичності спостережень за станом довкілля та техногенними об’єктами, що впливають на нього; 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своєчасності отримання, комплексності оброблення та використання екологічної інформації, що надходить і зберігається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системі моніторингу;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об’єктивності первинної, аналітичної і прогнозної екологічної інформації та оперативності її доведення до органів державної влади, органів місцевого самоврядування, громадських організацій, засобів масової інформації, населення України, зацікавлених міжнародних установ та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ітового співтовариства; 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сумісності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ічного, інформаційного та програмного забезпечення її складових частин;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оперативності доведення інформації до органів державного управління, інших зацікавлених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іністративних органів, підприємств, організацій, установ;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6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доступності екологічної інформації населенню України та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ітовій спільноті. 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5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Першим ступенем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на локальному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івні є пункти спостережень,</w:t>
      </w:r>
      <w:r w:rsidRPr="004A3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звідки інформація передається в локальні центри збору та переробки.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автоматизованої системи </w:t>
      </w:r>
      <w:r w:rsidRPr="004A3642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це локальна система, що обслуговує окремий район ( місто) і складається із 2-х частин – контрольно-вимірювальних станцій та інформаційно-аналітичного центру , де отримані дані обробляються, сортуються і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передаються на другий ступінь.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Другий ступінь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A3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це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івень відомчих та регіональних інформаційно-аналітичних центрів. З таких центрів інформація про рівні забруднення навколишнього природного середовища передається відповідним зацікавленим організаціям різних відомств і міністерств.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Третім ступенем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системи є державний,</w:t>
      </w:r>
      <w:r w:rsidRPr="004A3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який включає державний</w:t>
      </w:r>
      <w:r w:rsidRPr="004A3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інформаційно-аналітичний центр моніторингу довкілля і головні інформаційн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аналітичні центри відповідних міністерств і відомств, де збирається та обробляється інформація про забруднення природного середовища в масштабі всієї країни.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ім національного, регіонального і локального рівнів моніторинг довкілля організовується також в межах адміністративних підрозділів (областей, районів, міст, сіл), рекреаційних зон, або в межах галузей нафтогазового, агропромислового, лісогосподарського та інших комплексів.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Система державного моніторингу повинна бути організована так, щоб можна було забезпечити не тільки спостереження та аналіз стану довкілля, а й забезпечувати органи державного управління оперативною інформацією, прогнозами і попередженнями про можливі зміни довкілля для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ідтримки управлінських рішень та розробки науково обґрунтованих довгострокових та оперативних екологічних програм.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Регіональна система моніторингу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це система,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що реалізує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завдання моніторингу в межах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іністративної області. Регіональна система моніторингу має бути пов’язана із загальнодержавною системою і включати в себе елементи та інформацію локальних систем.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Локальна система моніторингу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система,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яка функціонує в межах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окремого району,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іста чи об’єкта. Локальна система моніторингу має бути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пов’язана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із загальнодержавною та регіональною системами моніторингу.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Відомча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або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корпоративна система моніторингу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це система,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Pr="004A36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належить окремим суб’єктам моніторингу довкілля і входить складовою частиною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державної системи моніторингу. За своїм рангом відомча система моніторингу може функціонувати на державному, регіональному та локальному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>івнях.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>Основними завданнями суб'єктів системи моніторингу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proofErr w:type="gramEnd"/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довгострокові систематичні спостереження за станом довкілля; </w:t>
      </w:r>
    </w:p>
    <w:p w:rsidR="004A3642" w:rsidRPr="004A3642" w:rsidRDefault="004A3642" w:rsidP="004A364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аналіз екологічного стану довкілля та прогнозування його змін; </w:t>
      </w:r>
    </w:p>
    <w:p w:rsidR="004A3642" w:rsidRPr="004A3642" w:rsidRDefault="004A3642" w:rsidP="004A3642">
      <w:pPr>
        <w:widowControl w:val="0"/>
        <w:autoSpaceDE w:val="0"/>
        <w:autoSpaceDN w:val="0"/>
        <w:adjustRightInd w:val="0"/>
        <w:spacing w:after="0" w:line="258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– інформаційно-аналітична </w:t>
      </w:r>
      <w:proofErr w:type="gramStart"/>
      <w:r w:rsidRPr="004A364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3642">
        <w:rPr>
          <w:rFonts w:ascii="Times New Roman" w:hAnsi="Times New Roman" w:cs="Times New Roman"/>
          <w:sz w:val="28"/>
          <w:szCs w:val="28"/>
          <w:lang w:val="ru-RU"/>
        </w:rPr>
        <w:t xml:space="preserve">ідтримка прийняття рішень у галузі охорони довкілля, раціонального використання природних ресурсів </w:t>
      </w:r>
      <w:bookmarkEnd w:id="0"/>
      <w:r w:rsidRPr="004A3642">
        <w:rPr>
          <w:rFonts w:ascii="Times New Roman" w:hAnsi="Times New Roman" w:cs="Times New Roman"/>
          <w:sz w:val="28"/>
          <w:szCs w:val="28"/>
          <w:lang w:val="ru-RU"/>
        </w:rPr>
        <w:t>та екологічної безпеки;</w:t>
      </w:r>
      <w:r w:rsidRPr="004A36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 wp14:anchorId="54C3B333" wp14:editId="72BE8BF6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280160" cy="444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642" w:rsidRPr="004A3642" w:rsidSect="004A3642">
      <w:footerReference w:type="default" r:id="rId12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8E" w:rsidRDefault="00713C8E" w:rsidP="00E96B89">
      <w:pPr>
        <w:spacing w:after="0" w:line="240" w:lineRule="auto"/>
      </w:pPr>
      <w:r>
        <w:separator/>
      </w:r>
    </w:p>
  </w:endnote>
  <w:endnote w:type="continuationSeparator" w:id="0">
    <w:p w:rsidR="00713C8E" w:rsidRDefault="00713C8E" w:rsidP="00E9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195091"/>
      <w:docPartObj>
        <w:docPartGallery w:val="Page Numbers (Bottom of Page)"/>
        <w:docPartUnique/>
      </w:docPartObj>
    </w:sdtPr>
    <w:sdtEndPr/>
    <w:sdtContent>
      <w:p w:rsidR="00E96B89" w:rsidRDefault="00E96B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42" w:rsidRPr="004A3642">
          <w:rPr>
            <w:noProof/>
            <w:lang w:val="ru-RU"/>
          </w:rPr>
          <w:t>5</w:t>
        </w:r>
        <w:r>
          <w:fldChar w:fldCharType="end"/>
        </w:r>
      </w:p>
    </w:sdtContent>
  </w:sdt>
  <w:p w:rsidR="00E96B89" w:rsidRDefault="00E96B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8E" w:rsidRDefault="00713C8E" w:rsidP="00E96B89">
      <w:pPr>
        <w:spacing w:after="0" w:line="240" w:lineRule="auto"/>
      </w:pPr>
      <w:r>
        <w:separator/>
      </w:r>
    </w:p>
  </w:footnote>
  <w:footnote w:type="continuationSeparator" w:id="0">
    <w:p w:rsidR="00713C8E" w:rsidRDefault="00713C8E" w:rsidP="00E9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97D"/>
    <w:multiLevelType w:val="hybridMultilevel"/>
    <w:tmpl w:val="00005F49"/>
    <w:lvl w:ilvl="0" w:tplc="0000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9"/>
    <w:rsid w:val="00090242"/>
    <w:rsid w:val="001B78E2"/>
    <w:rsid w:val="00246289"/>
    <w:rsid w:val="00470F3E"/>
    <w:rsid w:val="004A3642"/>
    <w:rsid w:val="00666808"/>
    <w:rsid w:val="00713C8E"/>
    <w:rsid w:val="00E96B89"/>
    <w:rsid w:val="00F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7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B89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E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B89"/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B8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7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B89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E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B89"/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B8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2015-09-09T09:55:00Z</cp:lastPrinted>
  <dcterms:created xsi:type="dcterms:W3CDTF">2015-09-07T10:27:00Z</dcterms:created>
  <dcterms:modified xsi:type="dcterms:W3CDTF">2015-09-09T10:17:00Z</dcterms:modified>
</cp:coreProperties>
</file>