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A4" w:rsidRDefault="00C31027" w:rsidP="00C310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027">
        <w:rPr>
          <w:rFonts w:ascii="Times New Roman" w:hAnsi="Times New Roman" w:cs="Times New Roman"/>
          <w:b/>
          <w:sz w:val="28"/>
          <w:szCs w:val="28"/>
          <w:lang w:val="uk-UA"/>
        </w:rPr>
        <w:t>Лекція 6</w:t>
      </w:r>
    </w:p>
    <w:p w:rsidR="00C31027" w:rsidRPr="00C31027" w:rsidRDefault="00C31027" w:rsidP="00C310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31027">
        <w:rPr>
          <w:rFonts w:ascii="Times New Roman" w:hAnsi="Times New Roman" w:cs="Times New Roman"/>
          <w:b/>
          <w:iCs/>
          <w:sz w:val="28"/>
          <w:szCs w:val="28"/>
        </w:rPr>
        <w:t>Категорії</w:t>
      </w:r>
      <w:proofErr w:type="spellEnd"/>
      <w:r w:rsidRPr="00C31027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b/>
          <w:iCs/>
          <w:sz w:val="28"/>
          <w:szCs w:val="28"/>
        </w:rPr>
        <w:t>розміщення</w:t>
      </w:r>
      <w:proofErr w:type="spellEnd"/>
      <w:r w:rsidRPr="00C31027">
        <w:rPr>
          <w:rFonts w:ascii="Times New Roman" w:hAnsi="Times New Roman" w:cs="Times New Roman"/>
          <w:b/>
          <w:iCs/>
          <w:sz w:val="28"/>
          <w:szCs w:val="28"/>
        </w:rPr>
        <w:t xml:space="preserve"> і </w:t>
      </w:r>
      <w:proofErr w:type="spellStart"/>
      <w:r w:rsidRPr="00C31027">
        <w:rPr>
          <w:rFonts w:ascii="Times New Roman" w:hAnsi="Times New Roman" w:cs="Times New Roman"/>
          <w:b/>
          <w:iCs/>
          <w:sz w:val="28"/>
          <w:szCs w:val="28"/>
        </w:rPr>
        <w:t>кількість</w:t>
      </w:r>
      <w:proofErr w:type="spellEnd"/>
      <w:r w:rsidRPr="00C3102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b/>
          <w:iCs/>
          <w:sz w:val="28"/>
          <w:szCs w:val="28"/>
        </w:rPr>
        <w:t>постів</w:t>
      </w:r>
      <w:proofErr w:type="spellEnd"/>
      <w:r w:rsidRPr="00C3102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b/>
          <w:iCs/>
          <w:sz w:val="28"/>
          <w:szCs w:val="28"/>
        </w:rPr>
        <w:t>спостережень</w:t>
      </w:r>
      <w:proofErr w:type="spellEnd"/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Існуюча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забрудненням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стаціонарні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маршрутні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пересувні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ідфакельні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. На постах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C3102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1027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ручним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способом, так і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автоматизованим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(типу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АНКОС-АГ).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Постом 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спостереження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1027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вибране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1027">
        <w:rPr>
          <w:rFonts w:ascii="Times New Roman" w:hAnsi="Times New Roman" w:cs="Times New Roman"/>
          <w:sz w:val="28"/>
          <w:szCs w:val="28"/>
        </w:rPr>
        <w:t xml:space="preserve">(точка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>),</w:t>
      </w:r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1027">
        <w:rPr>
          <w:rFonts w:ascii="Times New Roman" w:hAnsi="Times New Roman" w:cs="Times New Roman"/>
          <w:sz w:val="28"/>
          <w:szCs w:val="28"/>
        </w:rPr>
        <w:t>на</w:t>
      </w:r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павільйон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обладнаний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>.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Стаціонарний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пост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регулярного</w:t>
      </w:r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proofErr w:type="gramEnd"/>
      <w:r w:rsidRPr="00C31027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ЗР.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опорні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стаціонарні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пости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довго</w:t>
      </w:r>
      <w:r w:rsidR="00A51B05">
        <w:rPr>
          <w:rFonts w:ascii="Times New Roman" w:hAnsi="Times New Roman" w:cs="Times New Roman"/>
          <w:sz w:val="28"/>
          <w:szCs w:val="28"/>
        </w:rPr>
        <w:t>тривалих</w:t>
      </w:r>
      <w:proofErr w:type="spellEnd"/>
      <w:r w:rsidR="00A5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0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A5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05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="00A5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0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A51B05">
        <w:rPr>
          <w:rFonts w:ascii="Times New Roman" w:hAnsi="Times New Roman" w:cs="Times New Roman"/>
          <w:sz w:val="28"/>
          <w:szCs w:val="28"/>
        </w:rPr>
        <w:t xml:space="preserve"> (</w:t>
      </w:r>
      <w:r w:rsidRPr="00C31027">
        <w:rPr>
          <w:rFonts w:ascii="Times New Roman" w:hAnsi="Times New Roman" w:cs="Times New Roman"/>
          <w:sz w:val="28"/>
          <w:szCs w:val="28"/>
        </w:rPr>
        <w:t xml:space="preserve">пил, </w:t>
      </w:r>
      <w:r w:rsidRPr="00C31027">
        <w:rPr>
          <w:rFonts w:ascii="Times New Roman" w:hAnsi="Times New Roman" w:cs="Times New Roman"/>
          <w:i/>
          <w:iCs/>
          <w:sz w:val="28"/>
          <w:szCs w:val="28"/>
        </w:rPr>
        <w:t>СО, SO</w:t>
      </w:r>
      <w:r w:rsidRPr="00C3102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31027">
        <w:rPr>
          <w:rFonts w:ascii="Times New Roman" w:hAnsi="Times New Roman" w:cs="Times New Roman"/>
          <w:i/>
          <w:iCs/>
          <w:sz w:val="28"/>
          <w:szCs w:val="28"/>
        </w:rPr>
        <w:t>, NO</w:t>
      </w:r>
      <w:r w:rsidRPr="00C3102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31027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поширених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ЗР. До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ЗР 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формальдегід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бен</w:t>
      </w:r>
      <w:proofErr w:type="gram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31027">
        <w:rPr>
          <w:rFonts w:ascii="Times New Roman" w:hAnsi="Times New Roman" w:cs="Times New Roman"/>
          <w:i/>
          <w:iCs/>
          <w:sz w:val="28"/>
          <w:szCs w:val="28"/>
        </w:rPr>
        <w:t>а)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пірен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свинець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7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Маршрутний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пост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C31027">
        <w:rPr>
          <w:rFonts w:ascii="Times New Roman" w:hAnsi="Times New Roman" w:cs="Times New Roman"/>
          <w:sz w:val="28"/>
          <w:szCs w:val="28"/>
        </w:rPr>
        <w:t>регулярного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проб</w:t>
      </w:r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недоцільно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05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="00A5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05">
        <w:rPr>
          <w:rFonts w:ascii="Times New Roman" w:hAnsi="Times New Roman" w:cs="Times New Roman"/>
          <w:sz w:val="28"/>
          <w:szCs w:val="28"/>
        </w:rPr>
        <w:t>стаціонарний</w:t>
      </w:r>
      <w:proofErr w:type="spellEnd"/>
      <w:r w:rsidR="00A51B05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C310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детально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027">
        <w:rPr>
          <w:rFonts w:ascii="Times New Roman" w:hAnsi="Times New Roman" w:cs="Times New Roman"/>
          <w:sz w:val="28"/>
          <w:szCs w:val="28"/>
        </w:rPr>
        <w:t>атмосферного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повіт</w:t>
      </w:r>
      <w:r w:rsidR="00A51B05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="00A51B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51B0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A51B05">
        <w:rPr>
          <w:rFonts w:ascii="Times New Roman" w:hAnsi="Times New Roman" w:cs="Times New Roman"/>
          <w:sz w:val="28"/>
          <w:szCs w:val="28"/>
        </w:rPr>
        <w:t xml:space="preserve"> районах, </w:t>
      </w:r>
      <w:proofErr w:type="spellStart"/>
      <w:r w:rsidR="00A51B0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районах.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регулярні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але за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обладнаних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машин,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переміщуються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маршрутом (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5000 проб на 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8-10 проб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в 4-5 точках). Порядок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об'їзду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маршрутних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постів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вибраних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) повинен бути один і той же,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C3102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1027">
        <w:rPr>
          <w:rFonts w:ascii="Times New Roman" w:hAnsi="Times New Roman" w:cs="Times New Roman"/>
          <w:sz w:val="28"/>
          <w:szCs w:val="28"/>
        </w:rPr>
        <w:t xml:space="preserve"> проб 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визначався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одним і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же часом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>.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Пересувний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31027">
        <w:rPr>
          <w:rFonts w:ascii="Times New Roman" w:hAnsi="Times New Roman" w:cs="Times New Roman"/>
          <w:i/>
          <w:iCs/>
          <w:sz w:val="28"/>
          <w:szCs w:val="28"/>
        </w:rPr>
        <w:t>ідфакельний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пост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піддимовим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газовим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) факелом з метою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обладнаної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автомашини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ідфакельні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точки,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фіксованих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відстанях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1027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переміщуються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факела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обстежується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>.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Репрезентативність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за станом атмосферного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C3102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постів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обстежується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>.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7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C3102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місця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розташування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постів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очікують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забруднень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концентрацію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автомагістралі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>.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31027" w:rsidRPr="00C31027" w:rsidRDefault="00C31027" w:rsidP="00C31027">
      <w:pPr>
        <w:widowControl w:val="0"/>
        <w:numPr>
          <w:ilvl w:val="1"/>
          <w:numId w:val="1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60" w:lineRule="auto"/>
        <w:ind w:left="7" w:firstLine="4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першому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випадку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1027">
        <w:rPr>
          <w:rFonts w:ascii="Times New Roman" w:hAnsi="Times New Roman" w:cs="Times New Roman"/>
          <w:sz w:val="28"/>
          <w:szCs w:val="28"/>
        </w:rPr>
        <w:t xml:space="preserve">пост повинен бути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>,</w:t>
      </w:r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1027">
        <w:rPr>
          <w:rFonts w:ascii="Times New Roman" w:hAnsi="Times New Roman" w:cs="Times New Roman"/>
          <w:sz w:val="28"/>
          <w:szCs w:val="28"/>
        </w:rPr>
        <w:t>яка</w:t>
      </w:r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102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перемішуванню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визначатись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сумарним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:rsidR="00C31027" w:rsidRPr="00C31027" w:rsidRDefault="00C31027" w:rsidP="00C31027">
      <w:pPr>
        <w:widowControl w:val="0"/>
        <w:numPr>
          <w:ilvl w:val="1"/>
          <w:numId w:val="1"/>
        </w:numPr>
        <w:tabs>
          <w:tab w:val="clear" w:pos="1440"/>
          <w:tab w:val="num" w:pos="821"/>
        </w:tabs>
        <w:overflowPunct w:val="0"/>
        <w:autoSpaceDE w:val="0"/>
        <w:autoSpaceDN w:val="0"/>
        <w:adjustRightInd w:val="0"/>
        <w:spacing w:after="0" w:line="234" w:lineRule="auto"/>
        <w:ind w:left="7" w:firstLine="4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другому </w:t>
      </w: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випадку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1027">
        <w:rPr>
          <w:rFonts w:ascii="Times New Roman" w:hAnsi="Times New Roman" w:cs="Times New Roman"/>
          <w:sz w:val="28"/>
          <w:szCs w:val="28"/>
        </w:rPr>
        <w:t xml:space="preserve">пост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максимальних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 w:firstLine="50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ітрюються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асфальті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твердому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газоні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забруднень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антропогенного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попередніми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експериментами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ідженнями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пересувними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лабораторіями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рекогносцирувальним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широко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за кордоном. Таким чином,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маршрутних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постів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забруднень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метеорологічних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максимальних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>.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2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районах; в районах з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типом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; в парках, зонах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там, де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відмічаються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перевищують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порогові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>.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0" w:right="2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постів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узгоджується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Держгідрометслужби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за «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Настановою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гідрометеорологічним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станціям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постам».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8"/>
          <w:szCs w:val="28"/>
        </w:rPr>
      </w:pPr>
      <w:r w:rsidRPr="00C31027">
        <w:rPr>
          <w:rFonts w:ascii="Times New Roman" w:hAnsi="Times New Roman" w:cs="Times New Roman"/>
          <w:sz w:val="28"/>
          <w:szCs w:val="28"/>
        </w:rPr>
        <w:t xml:space="preserve">Стандартна мережа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C3102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31027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>: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</w:rPr>
      </w:pPr>
    </w:p>
    <w:p w:rsidR="00C31027" w:rsidRPr="00C31027" w:rsidRDefault="00C31027" w:rsidP="00C31027">
      <w:pPr>
        <w:widowControl w:val="0"/>
        <w:numPr>
          <w:ilvl w:val="0"/>
          <w:numId w:val="2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233" w:lineRule="auto"/>
        <w:ind w:left="20" w:right="20" w:firstLine="2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достовірні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просторово-часові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0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1027" w:rsidRPr="00C31027" w:rsidRDefault="00C31027" w:rsidP="00C310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31027" w:rsidRPr="00C31027" w:rsidRDefault="00C31027" w:rsidP="00C31027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4" w:lineRule="auto"/>
        <w:ind w:left="58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затрат. </w:t>
      </w:r>
    </w:p>
    <w:p w:rsidR="00C31027" w:rsidRPr="00C31027" w:rsidRDefault="00C31027" w:rsidP="00C31027">
      <w:pPr>
        <w:widowControl w:val="0"/>
        <w:numPr>
          <w:ilvl w:val="1"/>
          <w:numId w:val="2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34" w:lineRule="auto"/>
        <w:ind w:left="20" w:right="20" w:firstLine="4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C3102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31027">
        <w:rPr>
          <w:rFonts w:ascii="Times New Roman" w:hAnsi="Times New Roman" w:cs="Times New Roman"/>
          <w:sz w:val="28"/>
          <w:szCs w:val="28"/>
        </w:rPr>
        <w:t xml:space="preserve"> СНД є 3-6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постів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– 6-20 (в м.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– 16); 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– 1-3. </w:t>
      </w: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2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C3102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ЗДССКА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стаціонарні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1 пост на 10-20 км</w:t>
      </w:r>
      <w:r w:rsidRPr="00C310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10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310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>івнинній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і 1 пост – на 5-10 км</w:t>
      </w:r>
      <w:r w:rsidRPr="00C310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677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67701">
        <w:rPr>
          <w:rFonts w:ascii="Times New Roman" w:hAnsi="Times New Roman" w:cs="Times New Roman"/>
          <w:sz w:val="28"/>
          <w:szCs w:val="28"/>
        </w:rPr>
        <w:t>пересіченій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31027" w:rsidRPr="00C31027" w:rsidRDefault="00C31027" w:rsidP="00C31027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240" w:right="40" w:hanging="2205"/>
        <w:rPr>
          <w:rFonts w:ascii="Times New Roman" w:hAnsi="Times New Roman" w:cs="Times New Roman"/>
          <w:sz w:val="28"/>
          <w:szCs w:val="28"/>
        </w:rPr>
      </w:pPr>
      <w:proofErr w:type="spellStart"/>
      <w:r w:rsidRPr="00C31027">
        <w:rPr>
          <w:rFonts w:ascii="Times New Roman" w:hAnsi="Times New Roman" w:cs="Times New Roman"/>
          <w:i/>
          <w:iCs/>
          <w:sz w:val="28"/>
          <w:szCs w:val="28"/>
        </w:rPr>
        <w:t>Таблиця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>–</w:t>
      </w:r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контрольно-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вимірювальних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постів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0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10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C31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2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</w:p>
    <w:tbl>
      <w:tblPr>
        <w:tblW w:w="932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641"/>
        <w:gridCol w:w="1107"/>
        <w:gridCol w:w="1078"/>
        <w:gridCol w:w="1282"/>
        <w:gridCol w:w="1311"/>
        <w:gridCol w:w="2010"/>
      </w:tblGrid>
      <w:tr w:rsidR="00C31027" w:rsidRPr="00C31027" w:rsidTr="00EF1E52">
        <w:trPr>
          <w:trHeight w:val="231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701" w:rsidRPr="00167701" w:rsidRDefault="00167701" w:rsidP="0016770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27">
              <w:rPr>
                <w:rFonts w:ascii="Times New Roman" w:hAnsi="Times New Roman" w:cs="Times New Roman"/>
                <w:sz w:val="28"/>
                <w:szCs w:val="28"/>
              </w:rPr>
              <w:t>Чисельність</w:t>
            </w:r>
            <w:proofErr w:type="spell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7701" w:rsidRDefault="00167701" w:rsidP="0016770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1027" w:rsidRPr="00167701" w:rsidRDefault="00C31027" w:rsidP="0016770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27">
              <w:rPr>
                <w:rFonts w:ascii="Times New Roman" w:hAnsi="Times New Roman" w:cs="Times New Roman"/>
                <w:w w:val="93"/>
                <w:sz w:val="28"/>
                <w:szCs w:val="28"/>
              </w:rPr>
              <w:t>.</w:t>
            </w:r>
          </w:p>
        </w:tc>
      </w:tr>
      <w:tr w:rsidR="00C31027" w:rsidRPr="00C31027" w:rsidTr="00EF1E52">
        <w:trPr>
          <w:trHeight w:val="198"/>
        </w:trPr>
        <w:tc>
          <w:tcPr>
            <w:tcW w:w="1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27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C31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167701" w:rsidRDefault="00167701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167701" w:rsidRDefault="00167701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50-100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167701" w:rsidRDefault="00167701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100-200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167701" w:rsidRDefault="00167701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200-500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167701" w:rsidRDefault="00167701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500-1000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167701" w:rsidRDefault="00167701" w:rsidP="0016770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млн.</w:t>
            </w:r>
          </w:p>
        </w:tc>
      </w:tr>
      <w:tr w:rsidR="00C31027" w:rsidRPr="00C31027" w:rsidTr="00EF1E52">
        <w:trPr>
          <w:trHeight w:val="223"/>
        </w:trPr>
        <w:tc>
          <w:tcPr>
            <w:tcW w:w="1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31027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gramStart"/>
            <w:r w:rsidRPr="00C3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10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31027">
              <w:rPr>
                <w:rFonts w:ascii="Times New Roman" w:hAnsi="Times New Roman" w:cs="Times New Roman"/>
                <w:sz w:val="28"/>
                <w:szCs w:val="28"/>
              </w:rPr>
              <w:t>сіб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27" w:rsidRPr="00C31027" w:rsidTr="00EF1E52">
        <w:trPr>
          <w:trHeight w:val="21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027" w:rsidRPr="00167701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27" w:rsidRPr="00C31027" w:rsidTr="00EF1E52">
        <w:trPr>
          <w:trHeight w:val="171"/>
        </w:trPr>
        <w:tc>
          <w:tcPr>
            <w:tcW w:w="1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1027" w:rsidRPr="00167701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102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1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2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2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2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2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27" w:rsidRPr="00C31027" w:rsidTr="00EF1E52">
        <w:trPr>
          <w:trHeight w:val="223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1027" w:rsidRPr="00C31027" w:rsidRDefault="00C31027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27">
              <w:rPr>
                <w:rFonts w:ascii="Times New Roman" w:hAnsi="Times New Roman" w:cs="Times New Roman"/>
                <w:sz w:val="28"/>
                <w:szCs w:val="28"/>
              </w:rPr>
              <w:t>пості</w:t>
            </w:r>
            <w:proofErr w:type="gramStart"/>
            <w:r w:rsidRPr="00C310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31027" w:rsidRPr="00167701" w:rsidRDefault="00167701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31027" w:rsidRPr="00167701" w:rsidRDefault="00167701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31027" w:rsidRPr="00167701" w:rsidRDefault="00167701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31027" w:rsidRPr="00167701" w:rsidRDefault="00167701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31027" w:rsidRPr="00167701" w:rsidRDefault="00167701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31027" w:rsidRPr="00167701" w:rsidRDefault="00167701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10-20</w:t>
            </w:r>
          </w:p>
        </w:tc>
      </w:tr>
    </w:tbl>
    <w:p w:rsidR="00B123A4" w:rsidRDefault="00B123A4" w:rsidP="00B1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Програма</w:t>
      </w:r>
      <w:proofErr w:type="spellEnd"/>
      <w:r w:rsidRPr="00B123A4">
        <w:rPr>
          <w:rFonts w:ascii="Times New Roman" w:hAnsi="Times New Roman" w:cs="Times New Roman"/>
          <w:b/>
          <w:iCs/>
          <w:sz w:val="28"/>
          <w:szCs w:val="28"/>
        </w:rPr>
        <w:t xml:space="preserve"> і </w:t>
      </w:r>
      <w:proofErr w:type="spellStart"/>
      <w:r w:rsidRPr="00B123A4">
        <w:rPr>
          <w:rFonts w:ascii="Times New Roman" w:hAnsi="Times New Roman" w:cs="Times New Roman"/>
          <w:b/>
          <w:iCs/>
          <w:sz w:val="28"/>
          <w:szCs w:val="28"/>
        </w:rPr>
        <w:t>методи</w:t>
      </w:r>
      <w:proofErr w:type="spellEnd"/>
      <w:r w:rsidRPr="00B123A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b/>
          <w:iCs/>
          <w:sz w:val="28"/>
          <w:szCs w:val="28"/>
        </w:rPr>
        <w:t>спостережень</w:t>
      </w:r>
      <w:proofErr w:type="spellEnd"/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0" w:right="2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Регулярні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постах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неповною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скороченою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добовою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20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Повна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програма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разові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r w:rsidR="00EF1E5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середньодобові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безперервної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автоматични</w:t>
      </w:r>
      <w:proofErr w:type="spellEnd"/>
      <w:r w:rsidR="00215ECF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пристро</w:t>
      </w:r>
      <w:proofErr w:type="spellEnd"/>
      <w:r w:rsidR="00215ECF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дискретно через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часу не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обов'язковому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відборі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о 1-й, 7-й, 13-й, 19-й годинах за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декретним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часом.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15ECF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Неповна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програма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3A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разові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о 7-й, 13-й, 19-й годинах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декретного часу</w:t>
      </w:r>
      <w:r w:rsidR="00215E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Скорочена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програма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разові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о 7-й і 13-й годинах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декретного часу;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скороченою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за 45</w:t>
      </w:r>
      <w:r w:rsidRPr="00B123A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123A4">
        <w:rPr>
          <w:rFonts w:ascii="Times New Roman" w:hAnsi="Times New Roman" w:cs="Times New Roman"/>
          <w:sz w:val="28"/>
          <w:szCs w:val="28"/>
        </w:rPr>
        <w:t xml:space="preserve">С і в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середньомісячні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нижчі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 1/20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ГДК</w:t>
      </w:r>
      <w:r w:rsidRPr="00B123A4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діапазону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вимірювань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домішки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методу,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зміненим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: о 7-й , 10-й, 13-й годинах у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і о 16-й, 19-й, 22-й годинах в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середу,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п'ятницю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разових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Добова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програма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середньодобову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безперервного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добового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дискретно через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часу не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в одну і ту ж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поглинальну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посудину. За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добовою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разові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середньомісячні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середньорічні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3A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відбором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метеорологічні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напрям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швидкість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вітру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температуру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повітря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>стан погоди</w:t>
      </w:r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і </w:t>
      </w:r>
      <w:proofErr w:type="spellStart"/>
      <w:proofErr w:type="gram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123A4">
        <w:rPr>
          <w:rFonts w:ascii="Times New Roman" w:hAnsi="Times New Roman" w:cs="Times New Roman"/>
          <w:i/>
          <w:iCs/>
          <w:sz w:val="28"/>
          <w:szCs w:val="28"/>
        </w:rPr>
        <w:t>ідстилаючої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поверхні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постів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зміщення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на 1 годину в один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маршрутних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постах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повною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неповною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скороченою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постів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зміщення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на 1 годину в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боки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ідфакельних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спостереженнях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метеорологічних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відрізнятися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маршрутних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постах.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3A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несприятливих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метеорологічних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умов</w:t>
      </w:r>
      <w:r w:rsidRPr="00B123A4">
        <w:rPr>
          <w:rFonts w:ascii="Times New Roman" w:hAnsi="Times New Roman" w:cs="Times New Roman"/>
          <w:sz w:val="28"/>
          <w:szCs w:val="28"/>
        </w:rPr>
        <w:t xml:space="preserve"> (НМУ),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супроводжуються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ЗА,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lastRenderedPageBreak/>
        <w:t>години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відбирають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щільністю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маршрутних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факелом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215ECF" w:rsidRDefault="00B123A4" w:rsidP="00215ECF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ECF">
        <w:rPr>
          <w:rFonts w:ascii="Times New Roman" w:hAnsi="Times New Roman" w:cs="Times New Roman"/>
          <w:b/>
          <w:iCs/>
          <w:sz w:val="28"/>
          <w:szCs w:val="28"/>
        </w:rPr>
        <w:t>Періодичність</w:t>
      </w:r>
      <w:proofErr w:type="spellEnd"/>
      <w:r w:rsidRPr="00215ECF">
        <w:rPr>
          <w:rFonts w:ascii="Times New Roman" w:hAnsi="Times New Roman" w:cs="Times New Roman"/>
          <w:b/>
          <w:iCs/>
          <w:sz w:val="28"/>
          <w:szCs w:val="28"/>
        </w:rPr>
        <w:t xml:space="preserve"> і </w:t>
      </w:r>
      <w:proofErr w:type="spellStart"/>
      <w:r w:rsidRPr="00215ECF">
        <w:rPr>
          <w:rFonts w:ascii="Times New Roman" w:hAnsi="Times New Roman" w:cs="Times New Roman"/>
          <w:b/>
          <w:iCs/>
          <w:sz w:val="28"/>
          <w:szCs w:val="28"/>
        </w:rPr>
        <w:t>кількість</w:t>
      </w:r>
      <w:proofErr w:type="spellEnd"/>
      <w:r w:rsidRPr="00215E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15ECF">
        <w:rPr>
          <w:rFonts w:ascii="Times New Roman" w:hAnsi="Times New Roman" w:cs="Times New Roman"/>
          <w:b/>
          <w:iCs/>
          <w:sz w:val="28"/>
          <w:szCs w:val="28"/>
        </w:rPr>
        <w:t>спостережень</w:t>
      </w:r>
      <w:proofErr w:type="spellEnd"/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215E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123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задач,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мінімальною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="0021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 xml:space="preserve">(N)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обмежитися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r w:rsidR="00215EC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15EC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215ECF">
        <w:rPr>
          <w:rFonts w:ascii="Times New Roman" w:hAnsi="Times New Roman" w:cs="Times New Roman"/>
          <w:sz w:val="28"/>
          <w:szCs w:val="28"/>
        </w:rPr>
        <w:t xml:space="preserve"> характеристик ЗА </w:t>
      </w:r>
      <w:r w:rsidRPr="00B123A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задано</w:t>
      </w:r>
      <w:r w:rsidR="00215EC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21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ECF">
        <w:rPr>
          <w:rFonts w:ascii="Times New Roman" w:hAnsi="Times New Roman" w:cs="Times New Roman"/>
          <w:sz w:val="28"/>
          <w:szCs w:val="28"/>
        </w:rPr>
        <w:t>похибкою</w:t>
      </w:r>
      <w:proofErr w:type="spellEnd"/>
      <w:r w:rsidR="00215ECF">
        <w:rPr>
          <w:rFonts w:ascii="Times New Roman" w:hAnsi="Times New Roman" w:cs="Times New Roman"/>
          <w:sz w:val="28"/>
          <w:szCs w:val="28"/>
        </w:rPr>
        <w:t xml:space="preserve">. </w:t>
      </w:r>
      <w:r w:rsidRPr="00B12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 wp14:anchorId="1B3D87FA" wp14:editId="229638D2">
            <wp:simplePos x="0" y="0"/>
            <wp:positionH relativeFrom="column">
              <wp:posOffset>677545</wp:posOffset>
            </wp:positionH>
            <wp:positionV relativeFrom="paragraph">
              <wp:posOffset>-307340</wp:posOffset>
            </wp:positionV>
            <wp:extent cx="69850" cy="635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3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достовірних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метеорологічних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погодних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і режимах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серією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123A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кліматології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довший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надійніше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забруднень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п'ятьма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роками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різких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антропогенних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змінитися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в 2 рази (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введенні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123A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показу</w:t>
      </w:r>
      <w:proofErr w:type="gramStart"/>
      <w:r w:rsidRPr="00B123A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домішки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не повинен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тваринах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добровольцях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-людях за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ГДК в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законодавчо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НПС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стандартам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контролюєтьс</w:t>
      </w:r>
      <w:r w:rsidR="00215EC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1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ECF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="00215ECF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="00215ECF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Таким чином, повинно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виконуватися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B123A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B123A4">
        <w:rPr>
          <w:rFonts w:ascii="Times New Roman" w:hAnsi="Times New Roman" w:cs="Times New Roman"/>
          <w:sz w:val="28"/>
          <w:szCs w:val="28"/>
        </w:rPr>
        <w:t xml:space="preserve"> ЗР та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>ГДК</w:t>
      </w:r>
      <w:r w:rsidRPr="00B123A4">
        <w:rPr>
          <w:rFonts w:ascii="Times New Roman" w:hAnsi="Times New Roman" w:cs="Times New Roman"/>
          <w:sz w:val="28"/>
          <w:szCs w:val="28"/>
        </w:rPr>
        <w:t xml:space="preserve"> (мг/м</w:t>
      </w:r>
      <w:r w:rsidRPr="00B123A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123A4">
        <w:rPr>
          <w:rFonts w:ascii="Times New Roman" w:hAnsi="Times New Roman" w:cs="Times New Roman"/>
          <w:sz w:val="28"/>
          <w:szCs w:val="28"/>
        </w:rPr>
        <w:t>):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600"/>
      </w:tblGrid>
      <w:tr w:rsidR="00B123A4" w:rsidRPr="00B123A4" w:rsidTr="005504A3">
        <w:trPr>
          <w:trHeight w:val="25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 ≤ ГДК</w:t>
            </w:r>
            <w:r w:rsidRPr="00B12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sz w:val="28"/>
                <w:szCs w:val="28"/>
              </w:rPr>
              <w:t>(2.2)</w:t>
            </w:r>
          </w:p>
        </w:tc>
      </w:tr>
    </w:tbl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215E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людей (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рекреаційні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21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>0,8 ГДК</w:t>
      </w:r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123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ЗР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ефект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сумації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3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атмосфер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(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123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сумації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безрозмірна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сумарна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</w:p>
    <w:tbl>
      <w:tblPr>
        <w:tblW w:w="0" w:type="auto"/>
        <w:tblInd w:w="1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00"/>
        <w:gridCol w:w="540"/>
        <w:gridCol w:w="580"/>
        <w:gridCol w:w="520"/>
        <w:gridCol w:w="1040"/>
        <w:gridCol w:w="1080"/>
        <w:gridCol w:w="20"/>
      </w:tblGrid>
      <w:tr w:rsidR="00B123A4" w:rsidRPr="00B123A4" w:rsidTr="00B123A4">
        <w:trPr>
          <w:trHeight w:val="323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i/>
                <w:iCs/>
                <w:w w:val="81"/>
                <w:sz w:val="28"/>
                <w:szCs w:val="28"/>
              </w:rPr>
              <w:t>q</w:t>
            </w:r>
            <w:r w:rsidRPr="00B123A4">
              <w:rPr>
                <w:rFonts w:ascii="Times New Roman" w:hAnsi="Times New Roman" w:cs="Times New Roman"/>
                <w:w w:val="8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i/>
                <w:iCs/>
                <w:w w:val="92"/>
                <w:sz w:val="28"/>
                <w:szCs w:val="28"/>
              </w:rPr>
              <w:t>q</w:t>
            </w:r>
            <w:r w:rsidRPr="00B123A4">
              <w:rPr>
                <w:rFonts w:ascii="Times New Roman" w:hAnsi="Times New Roman" w:cs="Times New Roman"/>
                <w:w w:val="92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6"/>
                <w:sz w:val="28"/>
                <w:szCs w:val="28"/>
              </w:rPr>
              <w:t>+ .... 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3A4">
              <w:rPr>
                <w:rFonts w:ascii="Times New Roman" w:hAnsi="Times New Roman" w:cs="Times New Roman"/>
                <w:i/>
                <w:iCs/>
                <w:w w:val="92"/>
                <w:sz w:val="28"/>
                <w:szCs w:val="28"/>
              </w:rPr>
              <w:t>q</w:t>
            </w:r>
            <w:proofErr w:type="gramEnd"/>
            <w:r w:rsidRPr="00B123A4">
              <w:rPr>
                <w:rFonts w:ascii="Times New Roman" w:hAnsi="Times New Roman" w:cs="Times New Roman"/>
                <w:i/>
                <w:iCs/>
                <w:w w:val="92"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sz w:val="28"/>
                <w:szCs w:val="28"/>
              </w:rPr>
              <w:t>≤1.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sz w:val="28"/>
                <w:szCs w:val="28"/>
              </w:rPr>
              <w:t>(2.3)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A4" w:rsidRPr="00B123A4" w:rsidTr="00B123A4">
        <w:trPr>
          <w:trHeight w:val="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ГДК</w:t>
            </w:r>
            <w:proofErr w:type="gramStart"/>
            <w:r w:rsidRPr="00B123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A4" w:rsidRPr="00B123A4" w:rsidTr="00B123A4">
        <w:trPr>
          <w:trHeight w:val="407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ГДК</w:t>
            </w:r>
            <w:proofErr w:type="gramStart"/>
            <w:r w:rsidRPr="00B123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ГДК</w:t>
            </w:r>
            <w:r w:rsidRPr="00B123A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сумації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3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 xml:space="preserve">: фенолу і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діоксиду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діоксиду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діоксиду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азоту;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діоксиду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сірководню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; озону,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діоксиду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азоту і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формальдегіду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123A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розрізнюють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: 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ГДК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максимальні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разові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ГДК</w:t>
      </w:r>
      <w:r w:rsidRPr="00B123A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мр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),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середні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добові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ГДК</w:t>
      </w:r>
      <w:r w:rsidRPr="00B123A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)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і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робочої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зони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ГДК</w:t>
      </w:r>
      <w:r w:rsidRPr="00B123A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рз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).</w:t>
      </w: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ГДК</w:t>
      </w:r>
      <w:r w:rsidRPr="00B123A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мр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–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 xml:space="preserve">20-30-хвилинному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осереднення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;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рефлекторних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запаху,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ітлочутливість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) і не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біоелектричної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ГДК</w:t>
      </w:r>
      <w:r w:rsidRPr="00B123A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сд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–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ЗР в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B123A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,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цілодобовому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вдиханні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справляє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прямого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опосередкованого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шкідливого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необмеженому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осереднення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і вводиться з метою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загальнотоксичної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мутагенної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канцерогенної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123A4" w:rsidRPr="00B123A4" w:rsidRDefault="00B123A4" w:rsidP="00215EC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ГДК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рз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–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інгредієнта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,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не повинен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щоденному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вдиханні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8 годин (але не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41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призводити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віддалені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12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зоною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2 м, де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розташовується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місце.</w:t>
      </w:r>
      <w:proofErr w:type="spellEnd"/>
      <w:r w:rsidR="0021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>ГДК</w:t>
      </w:r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ЗР наведено в табл. </w:t>
      </w:r>
    </w:p>
    <w:p w:rsidR="00B123A4" w:rsidRPr="00B123A4" w:rsidRDefault="00B123A4" w:rsidP="00B123A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380" w:right="40" w:hanging="1346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Таблиця</w:t>
      </w:r>
      <w:proofErr w:type="spellEnd"/>
      <w:r w:rsidR="00215EC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–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Гранично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допустимі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забруднювальних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 xml:space="preserve">в атмосферному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B123A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506"/>
        <w:gridCol w:w="1536"/>
        <w:gridCol w:w="1506"/>
        <w:gridCol w:w="1898"/>
        <w:gridCol w:w="45"/>
      </w:tblGrid>
      <w:tr w:rsidR="00B123A4" w:rsidRPr="00B123A4" w:rsidTr="00B123A4">
        <w:trPr>
          <w:trHeight w:val="278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Речовина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b/>
                <w:bCs/>
                <w:i/>
                <w:iCs/>
                <w:w w:val="90"/>
                <w:sz w:val="28"/>
                <w:szCs w:val="28"/>
              </w:rPr>
              <w:t xml:space="preserve">ГДК </w:t>
            </w:r>
            <w:proofErr w:type="spellStart"/>
            <w:r w:rsidRPr="00B123A4">
              <w:rPr>
                <w:rFonts w:ascii="Times New Roman" w:hAnsi="Times New Roman" w:cs="Times New Roman"/>
                <w:b/>
                <w:bCs/>
                <w:i/>
                <w:iCs/>
                <w:w w:val="90"/>
                <w:sz w:val="28"/>
                <w:szCs w:val="28"/>
                <w:vertAlign w:val="subscript"/>
              </w:rPr>
              <w:t>мр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3A4">
              <w:rPr>
                <w:rFonts w:ascii="Times New Roman" w:hAnsi="Times New Roman" w:cs="Times New Roman"/>
                <w:b/>
                <w:bCs/>
                <w:i/>
                <w:iCs/>
                <w:w w:val="90"/>
                <w:sz w:val="28"/>
                <w:szCs w:val="28"/>
              </w:rPr>
              <w:t>ГДК</w:t>
            </w:r>
            <w:r w:rsidRPr="00B123A4">
              <w:rPr>
                <w:rFonts w:ascii="Times New Roman" w:hAnsi="Times New Roman" w:cs="Times New Roman"/>
                <w:b/>
                <w:bCs/>
                <w:i/>
                <w:iCs/>
                <w:w w:val="90"/>
                <w:sz w:val="28"/>
                <w:szCs w:val="28"/>
                <w:vertAlign w:val="subscript"/>
              </w:rPr>
              <w:t>сд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3A4">
              <w:rPr>
                <w:rFonts w:ascii="Times New Roman" w:hAnsi="Times New Roman" w:cs="Times New Roman"/>
                <w:b/>
                <w:bCs/>
                <w:i/>
                <w:iCs/>
                <w:w w:val="92"/>
                <w:sz w:val="28"/>
                <w:szCs w:val="28"/>
              </w:rPr>
              <w:t>ГДК</w:t>
            </w:r>
            <w:r w:rsidRPr="00B123A4">
              <w:rPr>
                <w:rFonts w:ascii="Times New Roman" w:hAnsi="Times New Roman" w:cs="Times New Roman"/>
                <w:b/>
                <w:bCs/>
                <w:i/>
                <w:iCs/>
                <w:w w:val="92"/>
                <w:sz w:val="28"/>
                <w:szCs w:val="28"/>
                <w:vertAlign w:val="subscript"/>
              </w:rPr>
              <w:t>рз</w:t>
            </w:r>
            <w:proofErr w:type="spellEnd"/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3A4">
              <w:rPr>
                <w:rFonts w:ascii="Times New Roman" w:hAnsi="Times New Roman" w:cs="Times New Roman"/>
                <w:b/>
                <w:bCs/>
                <w:w w:val="93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A4" w:rsidRPr="00B123A4" w:rsidTr="00B123A4">
        <w:trPr>
          <w:trHeight w:val="199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3A4">
              <w:rPr>
                <w:rFonts w:ascii="Times New Roman" w:hAnsi="Times New Roman" w:cs="Times New Roman"/>
                <w:b/>
                <w:bCs/>
                <w:w w:val="86"/>
                <w:sz w:val="28"/>
                <w:szCs w:val="28"/>
              </w:rPr>
              <w:t>небезпеки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A4" w:rsidRPr="00B123A4" w:rsidTr="00B123A4">
        <w:trPr>
          <w:trHeight w:val="1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A4" w:rsidRPr="00B123A4" w:rsidTr="00B123A4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3A4">
              <w:rPr>
                <w:rFonts w:ascii="Times New Roman" w:hAnsi="Times New Roman" w:cs="Times New Roman"/>
                <w:sz w:val="28"/>
                <w:szCs w:val="28"/>
              </w:rPr>
              <w:t>Діоксид</w:t>
            </w:r>
            <w:proofErr w:type="spellEnd"/>
            <w:r w:rsidRPr="00B123A4">
              <w:rPr>
                <w:rFonts w:ascii="Times New Roman" w:hAnsi="Times New Roman" w:cs="Times New Roman"/>
                <w:sz w:val="28"/>
                <w:szCs w:val="28"/>
              </w:rPr>
              <w:t xml:space="preserve"> азоту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7"/>
                <w:sz w:val="28"/>
                <w:szCs w:val="28"/>
              </w:rPr>
              <w:t>0,085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7"/>
                <w:sz w:val="28"/>
                <w:szCs w:val="28"/>
              </w:rPr>
              <w:t>0,04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5"/>
                <w:sz w:val="28"/>
                <w:szCs w:val="28"/>
              </w:rPr>
              <w:t>5,0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A4" w:rsidRPr="00B123A4" w:rsidTr="00B123A4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3A4">
              <w:rPr>
                <w:rFonts w:ascii="Times New Roman" w:hAnsi="Times New Roman" w:cs="Times New Roman"/>
                <w:sz w:val="28"/>
                <w:szCs w:val="28"/>
              </w:rPr>
              <w:t>Діоксид</w:t>
            </w:r>
            <w:proofErr w:type="spellEnd"/>
            <w:r w:rsidRPr="00B1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3A4">
              <w:rPr>
                <w:rFonts w:ascii="Times New Roman" w:hAnsi="Times New Roman" w:cs="Times New Roman"/>
                <w:sz w:val="28"/>
                <w:szCs w:val="28"/>
              </w:rPr>
              <w:t>сірки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5"/>
                <w:sz w:val="28"/>
                <w:szCs w:val="28"/>
              </w:rPr>
              <w:t>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7"/>
                <w:sz w:val="28"/>
                <w:szCs w:val="28"/>
              </w:rPr>
              <w:t>0,05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7"/>
                <w:sz w:val="28"/>
                <w:szCs w:val="28"/>
              </w:rPr>
              <w:t>10,0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A4" w:rsidRPr="00B123A4" w:rsidTr="00B123A4">
        <w:trPr>
          <w:trHeight w:val="27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sz w:val="28"/>
                <w:szCs w:val="28"/>
              </w:rPr>
              <w:t xml:space="preserve">Оксид </w:t>
            </w:r>
            <w:proofErr w:type="spellStart"/>
            <w:r w:rsidRPr="00B123A4">
              <w:rPr>
                <w:rFonts w:ascii="Times New Roman" w:hAnsi="Times New Roman" w:cs="Times New Roman"/>
                <w:sz w:val="28"/>
                <w:szCs w:val="28"/>
              </w:rPr>
              <w:t>вуглецю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5"/>
                <w:sz w:val="28"/>
                <w:szCs w:val="28"/>
              </w:rPr>
              <w:t>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5"/>
                <w:sz w:val="28"/>
                <w:szCs w:val="28"/>
              </w:rPr>
              <w:t>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89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A4" w:rsidRPr="00B123A4" w:rsidTr="00B123A4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sz w:val="28"/>
                <w:szCs w:val="28"/>
              </w:rPr>
              <w:t>Пил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5"/>
                <w:sz w:val="28"/>
                <w:szCs w:val="28"/>
              </w:rPr>
              <w:t>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7"/>
                <w:sz w:val="28"/>
                <w:szCs w:val="28"/>
              </w:rPr>
              <w:t>0,15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89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A4" w:rsidRPr="00B123A4" w:rsidTr="00B123A4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3A4">
              <w:rPr>
                <w:rFonts w:ascii="Times New Roman" w:hAnsi="Times New Roman" w:cs="Times New Roman"/>
                <w:sz w:val="28"/>
                <w:szCs w:val="28"/>
              </w:rPr>
              <w:t>Аміак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5"/>
                <w:sz w:val="28"/>
                <w:szCs w:val="28"/>
              </w:rPr>
              <w:t>0,2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7"/>
                <w:sz w:val="28"/>
                <w:szCs w:val="28"/>
              </w:rPr>
              <w:t>0,04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7"/>
                <w:sz w:val="28"/>
                <w:szCs w:val="28"/>
              </w:rPr>
              <w:t>20,0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A4" w:rsidRPr="00B123A4" w:rsidTr="00B123A4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89"/>
                <w:sz w:val="28"/>
                <w:szCs w:val="28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8"/>
                <w:sz w:val="28"/>
                <w:szCs w:val="28"/>
              </w:rPr>
              <w:t>0,0003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7"/>
                <w:sz w:val="28"/>
                <w:szCs w:val="28"/>
              </w:rPr>
              <w:t>0,01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4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3A4" w:rsidRPr="00B123A4" w:rsidRDefault="00B123A4" w:rsidP="0055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3A4" w:rsidRPr="00B123A4" w:rsidRDefault="00B123A4" w:rsidP="00215EC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для ЗР не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>ГДК</w:t>
      </w:r>
      <w:r w:rsidRPr="00B123A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орієнтовно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безпечний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максимальний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разовий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B123A4">
        <w:rPr>
          <w:rFonts w:ascii="Times New Roman" w:hAnsi="Times New Roman" w:cs="Times New Roman"/>
          <w:i/>
          <w:iCs/>
          <w:sz w:val="28"/>
          <w:szCs w:val="28"/>
        </w:rPr>
        <w:t>івень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дії</w:t>
      </w:r>
      <w:proofErr w:type="spellEnd"/>
      <w:r w:rsidR="0021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(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>ОБРД</w:t>
      </w:r>
      <w:r w:rsidRPr="00B123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тимчасова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допустима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концентрація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(ТДК) </w:t>
      </w:r>
      <w:r w:rsidRPr="00B123A4">
        <w:rPr>
          <w:rFonts w:ascii="Times New Roman" w:hAnsi="Times New Roman" w:cs="Times New Roman"/>
          <w:sz w:val="28"/>
          <w:szCs w:val="28"/>
        </w:rPr>
        <w:t>–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на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2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роки.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ЛК</w:t>
      </w:r>
      <w:r w:rsidRPr="00B123A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50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і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ЛК</w:t>
      </w:r>
      <w:r w:rsidRPr="00B123A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100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>–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 xml:space="preserve">летальна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,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диханні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50% і 100%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пацюки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– 4 годин,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).</w:t>
      </w:r>
    </w:p>
    <w:p w:rsidR="00B123A4" w:rsidRPr="00B123A4" w:rsidRDefault="00B123A4" w:rsidP="00B123A4">
      <w:pPr>
        <w:widowControl w:val="0"/>
        <w:autoSpaceDE w:val="0"/>
        <w:autoSpaceDN w:val="0"/>
        <w:adjustRightInd w:val="0"/>
        <w:spacing w:after="0" w:line="237" w:lineRule="auto"/>
        <w:ind w:left="500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класи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небезпеки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ЗР</w:t>
      </w:r>
      <w:r w:rsidRPr="00B123A4">
        <w:rPr>
          <w:rFonts w:ascii="Times New Roman" w:hAnsi="Times New Roman" w:cs="Times New Roman"/>
          <w:sz w:val="28"/>
          <w:szCs w:val="28"/>
        </w:rPr>
        <w:t>:</w:t>
      </w:r>
    </w:p>
    <w:p w:rsidR="00B123A4" w:rsidRPr="00B123A4" w:rsidRDefault="00B123A4" w:rsidP="00B123A4">
      <w:pPr>
        <w:widowControl w:val="0"/>
        <w:numPr>
          <w:ilvl w:val="0"/>
          <w:numId w:val="3"/>
        </w:numPr>
        <w:tabs>
          <w:tab w:val="clear" w:pos="720"/>
          <w:tab w:val="num" w:pos="331"/>
        </w:tabs>
        <w:overflowPunct w:val="0"/>
        <w:autoSpaceDE w:val="0"/>
        <w:autoSpaceDN w:val="0"/>
        <w:adjustRightInd w:val="0"/>
        <w:spacing w:after="0" w:line="260" w:lineRule="auto"/>
        <w:ind w:left="340" w:hanging="2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Надзвичайно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небезпечні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бен</w:t>
      </w:r>
      <w:proofErr w:type="gramStart"/>
      <w:r w:rsidRPr="00B123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23A4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пірен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,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свинець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,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ртуті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і хрому,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3A4">
        <w:rPr>
          <w:rFonts w:ascii="Times New Roman" w:hAnsi="Times New Roman" w:cs="Times New Roman"/>
          <w:sz w:val="28"/>
          <w:szCs w:val="28"/>
        </w:rPr>
        <w:t xml:space="preserve">гексахлоран,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ціановодні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пен</w:t>
      </w:r>
      <w:r w:rsidR="00215ECF">
        <w:rPr>
          <w:rFonts w:ascii="Times New Roman" w:hAnsi="Times New Roman" w:cs="Times New Roman"/>
          <w:sz w:val="28"/>
          <w:szCs w:val="28"/>
        </w:rPr>
        <w:t>таоксид</w:t>
      </w:r>
      <w:proofErr w:type="spellEnd"/>
      <w:r w:rsidR="0021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ECF">
        <w:rPr>
          <w:rFonts w:ascii="Times New Roman" w:hAnsi="Times New Roman" w:cs="Times New Roman"/>
          <w:sz w:val="28"/>
          <w:szCs w:val="28"/>
        </w:rPr>
        <w:t>ванадію</w:t>
      </w:r>
      <w:proofErr w:type="spellEnd"/>
      <w:r w:rsidR="00215ECF">
        <w:rPr>
          <w:rFonts w:ascii="Times New Roman" w:hAnsi="Times New Roman" w:cs="Times New Roman"/>
          <w:sz w:val="28"/>
          <w:szCs w:val="28"/>
        </w:rPr>
        <w:t>, ДДТ, озон т</w:t>
      </w:r>
      <w:proofErr w:type="spellStart"/>
      <w:r w:rsidR="00215ECF">
        <w:rPr>
          <w:rFonts w:ascii="Times New Roman" w:hAnsi="Times New Roman" w:cs="Times New Roman"/>
          <w:sz w:val="28"/>
          <w:szCs w:val="28"/>
          <w:lang w:val="uk-UA"/>
        </w:rPr>
        <w:t>ощо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77A" w:rsidRPr="00E2277A" w:rsidRDefault="00B123A4" w:rsidP="00E2277A">
      <w:pPr>
        <w:widowControl w:val="0"/>
        <w:numPr>
          <w:ilvl w:val="0"/>
          <w:numId w:val="3"/>
        </w:numPr>
        <w:tabs>
          <w:tab w:val="clear" w:pos="720"/>
          <w:tab w:val="num" w:pos="331"/>
        </w:tabs>
        <w:overflowPunct w:val="0"/>
        <w:autoSpaceDE w:val="0"/>
        <w:autoSpaceDN w:val="0"/>
        <w:adjustRightInd w:val="0"/>
        <w:spacing w:after="0" w:line="238" w:lineRule="auto"/>
        <w:ind w:left="340" w:hanging="2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3A4">
        <w:rPr>
          <w:rFonts w:ascii="Times New Roman" w:hAnsi="Times New Roman" w:cs="Times New Roman"/>
          <w:i/>
          <w:iCs/>
          <w:sz w:val="28"/>
          <w:szCs w:val="28"/>
        </w:rPr>
        <w:t>Високонебезпечні</w:t>
      </w:r>
      <w:proofErr w:type="spellEnd"/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сірчана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кислота,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сірководень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,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кофеїн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,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феноли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>,</w:t>
      </w:r>
      <w:r w:rsidRPr="00B1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123A4">
        <w:rPr>
          <w:rFonts w:ascii="Times New Roman" w:hAnsi="Times New Roman" w:cs="Times New Roman"/>
          <w:sz w:val="28"/>
          <w:szCs w:val="28"/>
        </w:rPr>
        <w:t>діоксид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 азоту, бен</w:t>
      </w:r>
      <w:r w:rsidR="00215ECF">
        <w:rPr>
          <w:rFonts w:ascii="Times New Roman" w:hAnsi="Times New Roman" w:cs="Times New Roman"/>
          <w:sz w:val="28"/>
          <w:szCs w:val="28"/>
        </w:rPr>
        <w:t xml:space="preserve">зол, хлор, </w:t>
      </w:r>
      <w:proofErr w:type="spellStart"/>
      <w:r w:rsidR="00215ECF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="0021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ECF">
        <w:rPr>
          <w:rFonts w:ascii="Times New Roman" w:hAnsi="Times New Roman" w:cs="Times New Roman"/>
          <w:sz w:val="28"/>
          <w:szCs w:val="28"/>
        </w:rPr>
        <w:t>марганцю</w:t>
      </w:r>
      <w:proofErr w:type="spellEnd"/>
      <w:r w:rsidR="00215ECF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="00215ECF">
        <w:rPr>
          <w:rFonts w:ascii="Times New Roman" w:hAnsi="Times New Roman" w:cs="Times New Roman"/>
          <w:sz w:val="28"/>
          <w:szCs w:val="28"/>
          <w:lang w:val="uk-UA"/>
        </w:rPr>
        <w:t>ощо</w:t>
      </w:r>
      <w:proofErr w:type="spellEnd"/>
      <w:r w:rsidRPr="00B12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77A" w:rsidRPr="00E2277A" w:rsidRDefault="003B5DA2" w:rsidP="00E2277A">
      <w:pPr>
        <w:widowControl w:val="0"/>
        <w:numPr>
          <w:ilvl w:val="0"/>
          <w:numId w:val="3"/>
        </w:numPr>
        <w:tabs>
          <w:tab w:val="clear" w:pos="720"/>
          <w:tab w:val="num" w:pos="331"/>
        </w:tabs>
        <w:overflowPunct w:val="0"/>
        <w:autoSpaceDE w:val="0"/>
        <w:autoSpaceDN w:val="0"/>
        <w:adjustRightInd w:val="0"/>
        <w:spacing w:after="0" w:line="238" w:lineRule="auto"/>
        <w:ind w:left="340" w:hanging="2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Помірно</w:t>
      </w:r>
      <w:proofErr w:type="spellEnd"/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небезпечні</w:t>
      </w:r>
      <w:proofErr w:type="spellEnd"/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27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2277A">
        <w:rPr>
          <w:rFonts w:ascii="Times New Roman" w:hAnsi="Times New Roman" w:cs="Times New Roman"/>
          <w:color w:val="000000"/>
          <w:sz w:val="28"/>
          <w:szCs w:val="28"/>
        </w:rPr>
        <w:t>діоксид</w:t>
      </w:r>
      <w:proofErr w:type="spellEnd"/>
      <w:r w:rsidRPr="00E22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277A">
        <w:rPr>
          <w:rFonts w:ascii="Times New Roman" w:hAnsi="Times New Roman" w:cs="Times New Roman"/>
          <w:color w:val="000000"/>
          <w:sz w:val="28"/>
          <w:szCs w:val="28"/>
        </w:rPr>
        <w:t>сірки</w:t>
      </w:r>
      <w:proofErr w:type="spellEnd"/>
      <w:r w:rsidRPr="00E227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2277A">
        <w:rPr>
          <w:rFonts w:ascii="Times New Roman" w:hAnsi="Times New Roman" w:cs="Times New Roman"/>
          <w:color w:val="000000"/>
          <w:sz w:val="28"/>
          <w:szCs w:val="28"/>
        </w:rPr>
        <w:t>бутиловий</w:t>
      </w:r>
      <w:proofErr w:type="spellEnd"/>
      <w:r w:rsidRPr="00E2277A">
        <w:rPr>
          <w:rFonts w:ascii="Times New Roman" w:hAnsi="Times New Roman" w:cs="Times New Roman"/>
          <w:color w:val="000000"/>
          <w:sz w:val="28"/>
          <w:szCs w:val="28"/>
        </w:rPr>
        <w:t xml:space="preserve"> спирт,</w:t>
      </w:r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15ECF">
        <w:rPr>
          <w:rFonts w:ascii="Times New Roman" w:hAnsi="Times New Roman" w:cs="Times New Roman"/>
          <w:color w:val="000000"/>
          <w:sz w:val="28"/>
          <w:szCs w:val="28"/>
        </w:rPr>
        <w:t>пил т</w:t>
      </w:r>
      <w:proofErr w:type="spellStart"/>
      <w:r w:rsidR="00215EC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ощо</w:t>
      </w:r>
      <w:proofErr w:type="spellEnd"/>
      <w:r w:rsidRPr="00E227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B5DA2" w:rsidRPr="00E2277A" w:rsidRDefault="003B5DA2" w:rsidP="00E2277A">
      <w:pPr>
        <w:widowControl w:val="0"/>
        <w:numPr>
          <w:ilvl w:val="0"/>
          <w:numId w:val="3"/>
        </w:numPr>
        <w:tabs>
          <w:tab w:val="clear" w:pos="720"/>
          <w:tab w:val="num" w:pos="331"/>
        </w:tabs>
        <w:overflowPunct w:val="0"/>
        <w:autoSpaceDE w:val="0"/>
        <w:autoSpaceDN w:val="0"/>
        <w:adjustRightInd w:val="0"/>
        <w:spacing w:after="0" w:line="238" w:lineRule="auto"/>
        <w:ind w:left="340" w:hanging="2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Малонебезпечні</w:t>
      </w:r>
      <w:proofErr w:type="spellEnd"/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речовини </w:t>
      </w:r>
      <w:r w:rsidRPr="00E2277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2277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оксид вуглецю,</w:t>
      </w:r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2277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етиловий спирт,</w:t>
      </w:r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2277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аміак,</w:t>
      </w:r>
      <w:r w:rsidRPr="00E227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215EC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нафталін, ацетон, скипидар тощо</w:t>
      </w:r>
      <w:bookmarkStart w:id="0" w:name="_GoBack"/>
      <w:bookmarkEnd w:id="0"/>
      <w:r w:rsidRPr="00E227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3B5DA2" w:rsidRPr="00E2277A" w:rsidRDefault="003B5DA2" w:rsidP="003B5D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3B5DA2" w:rsidRPr="003B5DA2" w:rsidRDefault="003B5DA2" w:rsidP="003B5DA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3B5DA2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3B5DA2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3B5DA2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3B5DA2">
        <w:rPr>
          <w:rFonts w:ascii="Times New Roman" w:hAnsi="Times New Roman" w:cs="Times New Roman"/>
          <w:sz w:val="28"/>
          <w:szCs w:val="28"/>
        </w:rPr>
        <w:t>ігієнічні</w:t>
      </w:r>
      <w:proofErr w:type="spellEnd"/>
      <w:r w:rsidRPr="003B5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A2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3B5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A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B5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A2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3B5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A2">
        <w:rPr>
          <w:rFonts w:ascii="Times New Roman" w:hAnsi="Times New Roman" w:cs="Times New Roman"/>
          <w:sz w:val="28"/>
          <w:szCs w:val="28"/>
        </w:rPr>
        <w:t>фізіологічний</w:t>
      </w:r>
      <w:proofErr w:type="spellEnd"/>
      <w:r w:rsidRPr="003B5DA2">
        <w:rPr>
          <w:rFonts w:ascii="Times New Roman" w:hAnsi="Times New Roman" w:cs="Times New Roman"/>
          <w:sz w:val="28"/>
          <w:szCs w:val="28"/>
        </w:rPr>
        <w:t xml:space="preserve"> оптимум для </w:t>
      </w:r>
      <w:proofErr w:type="spellStart"/>
      <w:r w:rsidRPr="003B5DA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B5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A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5DA2">
        <w:rPr>
          <w:rFonts w:ascii="Times New Roman" w:hAnsi="Times New Roman" w:cs="Times New Roman"/>
          <w:sz w:val="28"/>
          <w:szCs w:val="28"/>
        </w:rPr>
        <w:t>.</w:t>
      </w:r>
    </w:p>
    <w:p w:rsidR="003B5DA2" w:rsidRPr="003B5DA2" w:rsidRDefault="003B5DA2" w:rsidP="003B5DA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C31027" w:rsidRPr="00B123A4" w:rsidRDefault="00C31027" w:rsidP="00B12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1027" w:rsidRPr="00B123A4" w:rsidSect="00F652BE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B8" w:rsidRDefault="004E46B8" w:rsidP="003B5DA2">
      <w:pPr>
        <w:spacing w:after="0" w:line="240" w:lineRule="auto"/>
      </w:pPr>
      <w:r>
        <w:separator/>
      </w:r>
    </w:p>
  </w:endnote>
  <w:endnote w:type="continuationSeparator" w:id="0">
    <w:p w:rsidR="004E46B8" w:rsidRDefault="004E46B8" w:rsidP="003B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939054"/>
      <w:docPartObj>
        <w:docPartGallery w:val="Page Numbers (Bottom of Page)"/>
        <w:docPartUnique/>
      </w:docPartObj>
    </w:sdtPr>
    <w:sdtContent>
      <w:p w:rsidR="00B12D2D" w:rsidRDefault="00B12D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ECF">
          <w:rPr>
            <w:noProof/>
          </w:rPr>
          <w:t>5</w:t>
        </w:r>
        <w:r>
          <w:fldChar w:fldCharType="end"/>
        </w:r>
      </w:p>
    </w:sdtContent>
  </w:sdt>
  <w:p w:rsidR="003B5DA2" w:rsidRDefault="003B5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B8" w:rsidRDefault="004E46B8" w:rsidP="003B5DA2">
      <w:pPr>
        <w:spacing w:after="0" w:line="240" w:lineRule="auto"/>
      </w:pPr>
      <w:r>
        <w:separator/>
      </w:r>
    </w:p>
  </w:footnote>
  <w:footnote w:type="continuationSeparator" w:id="0">
    <w:p w:rsidR="004E46B8" w:rsidRDefault="004E46B8" w:rsidP="003B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12"/>
    <w:multiLevelType w:val="hybridMultilevel"/>
    <w:tmpl w:val="00005F1E"/>
    <w:lvl w:ilvl="0" w:tplc="0000283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D7"/>
    <w:multiLevelType w:val="hybridMultilevel"/>
    <w:tmpl w:val="00006BE8"/>
    <w:lvl w:ilvl="0" w:tplc="0000503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42C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4F"/>
    <w:multiLevelType w:val="hybridMultilevel"/>
    <w:tmpl w:val="0000494A"/>
    <w:lvl w:ilvl="0" w:tplc="0000067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2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A886233"/>
    <w:multiLevelType w:val="hybridMultilevel"/>
    <w:tmpl w:val="E018B0DE"/>
    <w:lvl w:ilvl="0" w:tplc="2762469A">
      <w:start w:val="5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70"/>
    <w:rsid w:val="00071A70"/>
    <w:rsid w:val="00167701"/>
    <w:rsid w:val="00215ECF"/>
    <w:rsid w:val="002715A4"/>
    <w:rsid w:val="003B5DA2"/>
    <w:rsid w:val="004E46B8"/>
    <w:rsid w:val="008F6346"/>
    <w:rsid w:val="00A51B05"/>
    <w:rsid w:val="00B123A4"/>
    <w:rsid w:val="00B12D2D"/>
    <w:rsid w:val="00C31027"/>
    <w:rsid w:val="00C43C02"/>
    <w:rsid w:val="00E03649"/>
    <w:rsid w:val="00E2277A"/>
    <w:rsid w:val="00EF1E52"/>
    <w:rsid w:val="00F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DA2"/>
  </w:style>
  <w:style w:type="paragraph" w:styleId="a5">
    <w:name w:val="footer"/>
    <w:basedOn w:val="a"/>
    <w:link w:val="a6"/>
    <w:uiPriority w:val="99"/>
    <w:unhideWhenUsed/>
    <w:rsid w:val="003B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DA2"/>
  </w:style>
  <w:style w:type="paragraph" w:styleId="a7">
    <w:name w:val="List Paragraph"/>
    <w:basedOn w:val="a"/>
    <w:uiPriority w:val="34"/>
    <w:qFormat/>
    <w:rsid w:val="0016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DA2"/>
  </w:style>
  <w:style w:type="paragraph" w:styleId="a5">
    <w:name w:val="footer"/>
    <w:basedOn w:val="a"/>
    <w:link w:val="a6"/>
    <w:uiPriority w:val="99"/>
    <w:unhideWhenUsed/>
    <w:rsid w:val="003B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DA2"/>
  </w:style>
  <w:style w:type="paragraph" w:styleId="a7">
    <w:name w:val="List Paragraph"/>
    <w:basedOn w:val="a"/>
    <w:uiPriority w:val="34"/>
    <w:qFormat/>
    <w:rsid w:val="0016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2015-09-22T10:59:00Z</dcterms:created>
  <dcterms:modified xsi:type="dcterms:W3CDTF">2015-10-09T10:14:00Z</dcterms:modified>
</cp:coreProperties>
</file>