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E" w:rsidRDefault="000A77AE" w:rsidP="000A77AE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" w:firstLine="504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Лекція №7</w:t>
      </w:r>
    </w:p>
    <w:p w:rsidR="000A77AE" w:rsidRPr="000A77AE" w:rsidRDefault="000A77AE" w:rsidP="000A77AE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" w:firstLine="50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7AE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Принципи вибору забруднювальних речовин для контролю їх вмісту </w:t>
      </w:r>
      <w:proofErr w:type="gramStart"/>
      <w:r w:rsidRPr="000A77AE">
        <w:rPr>
          <w:rFonts w:ascii="Times New Roman" w:hAnsi="Times New Roman" w:cs="Times New Roman"/>
          <w:b/>
          <w:iCs/>
          <w:sz w:val="28"/>
          <w:szCs w:val="28"/>
          <w:lang w:val="ru-RU"/>
        </w:rPr>
        <w:t>в</w:t>
      </w:r>
      <w:proofErr w:type="gramEnd"/>
      <w:r w:rsidRPr="000A77AE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атмосфері</w:t>
      </w:r>
    </w:p>
    <w:p w:rsidR="000A77AE" w:rsidRPr="000A77AE" w:rsidRDefault="000A77AE" w:rsidP="000A7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7AE">
        <w:rPr>
          <w:rFonts w:ascii="Times New Roman" w:hAnsi="Times New Roman" w:cs="Times New Roman"/>
          <w:sz w:val="28"/>
          <w:szCs w:val="28"/>
          <w:lang w:val="ru-RU"/>
        </w:rPr>
        <w:t>Кількість речовин, що викидаються в атмосферу внаслідок антропогенної діяльності, постійно зроста</w:t>
      </w:r>
      <w:proofErr w:type="gramStart"/>
      <w:r w:rsidRPr="000A77AE">
        <w:rPr>
          <w:rFonts w:ascii="Times New Roman" w:hAnsi="Times New Roman" w:cs="Times New Roman"/>
          <w:sz w:val="28"/>
          <w:szCs w:val="28"/>
          <w:lang w:val="ru-RU"/>
        </w:rPr>
        <w:t>є.</w:t>
      </w:r>
      <w:proofErr w:type="gramEnd"/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 Вже декілька десятків років ведуться вимірювання за основними домішками, рекомендованими ВОЗ для обов'язкового контролю: пил, </w:t>
      </w:r>
      <w:r w:rsidRPr="000A77AE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0A77A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A77AE">
        <w:rPr>
          <w:rFonts w:ascii="Times New Roman" w:hAnsi="Times New Roman" w:cs="Times New Roman"/>
          <w:i/>
          <w:iCs/>
          <w:sz w:val="28"/>
          <w:szCs w:val="28"/>
        </w:rPr>
        <w:t>CO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A77AE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0A77A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24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 Україні прийнятий пріоритетний список ЗР, за якими повинен здійснюватися контроль. </w:t>
      </w:r>
      <w:proofErr w:type="gramStart"/>
      <w:r w:rsidRPr="000A77AE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0A77AE">
        <w:rPr>
          <w:rFonts w:ascii="Times New Roman" w:hAnsi="Times New Roman" w:cs="Times New Roman"/>
          <w:sz w:val="28"/>
          <w:szCs w:val="28"/>
          <w:lang w:val="ru-RU"/>
        </w:rPr>
        <w:t>ім основних, вимірюють цілий ряд інших специфічних газоподібних домішок, аерозолів і твердих часток.</w:t>
      </w:r>
    </w:p>
    <w:p w:rsidR="000A77AE" w:rsidRPr="000A77AE" w:rsidRDefault="000A77AE" w:rsidP="000A77A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A77AE" w:rsidRPr="000A77AE" w:rsidRDefault="000A77AE" w:rsidP="000A77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Для ранжування ЗР розроблена методика ранжування за 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параметром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споживання повітря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</w:t>
      </w:r>
      <w:proofErr w:type="gramStart"/>
      <w:r w:rsidRPr="000A77A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gramEnd"/>
      <w:r w:rsidRPr="000A77A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СП</w:t>
      </w:r>
      <w:r w:rsidRPr="000A77A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і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>це об'єм повітря,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>необхідний для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розбавлення викидів потужністю </w:t>
      </w:r>
      <w:r w:rsidRPr="000A77AE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A77A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 xml:space="preserve"> до середнього </w:t>
      </w:r>
      <w:proofErr w:type="gramStart"/>
      <w:r w:rsidRPr="000A77A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A77AE">
        <w:rPr>
          <w:rFonts w:ascii="Times New Roman" w:hAnsi="Times New Roman" w:cs="Times New Roman"/>
          <w:sz w:val="28"/>
          <w:szCs w:val="28"/>
          <w:lang w:val="ru-RU"/>
        </w:rPr>
        <w:t>івня концентрації:</w:t>
      </w:r>
    </w:p>
    <w:tbl>
      <w:tblPr>
        <w:tblW w:w="0" w:type="auto"/>
        <w:tblInd w:w="2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60"/>
        <w:gridCol w:w="160"/>
        <w:gridCol w:w="60"/>
        <w:gridCol w:w="1180"/>
      </w:tblGrid>
      <w:tr w:rsidR="003C7937" w:rsidTr="003C7937">
        <w:trPr>
          <w:trHeight w:val="262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CП </w:t>
            </w: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7937" w:rsidTr="003C7937">
        <w:trPr>
          <w:trHeight w:val="32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937" w:rsidTr="003C7937">
        <w:trPr>
          <w:trHeight w:val="20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37" w:rsidRDefault="003C7937" w:rsidP="00292B32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4"/>
                <w:sz w:val="21"/>
                <w:szCs w:val="21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w w:val="84"/>
                <w:sz w:val="32"/>
                <w:szCs w:val="32"/>
                <w:vertAlign w:val="subscript"/>
              </w:rPr>
              <w:t>i</w:t>
            </w:r>
          </w:p>
        </w:tc>
      </w:tr>
    </w:tbl>
    <w:p w:rsidR="000A77AE" w:rsidRPr="000A77AE" w:rsidRDefault="000A77AE" w:rsidP="003C7937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7AE">
        <w:rPr>
          <w:rFonts w:ascii="Times New Roman" w:hAnsi="Times New Roman" w:cs="Times New Roman"/>
          <w:sz w:val="28"/>
          <w:szCs w:val="28"/>
          <w:lang w:val="ru-RU"/>
        </w:rPr>
        <w:t>Загальнопоширені забруднювальні речовини і показники,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0A77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A1A93">
        <w:rPr>
          <w:rFonts w:ascii="Times New Roman" w:hAnsi="Times New Roman" w:cs="Times New Roman"/>
          <w:sz w:val="28"/>
          <w:szCs w:val="28"/>
          <w:lang w:val="ru-RU"/>
        </w:rPr>
        <w:t xml:space="preserve">їх визначають в </w:t>
      </w:r>
      <w:r w:rsidRPr="000A77AE">
        <w:rPr>
          <w:rFonts w:ascii="Times New Roman" w:hAnsi="Times New Roman" w:cs="Times New Roman"/>
          <w:sz w:val="28"/>
          <w:szCs w:val="28"/>
          <w:lang w:val="ru-RU"/>
        </w:rPr>
        <w:t>атмосферному пові</w:t>
      </w:r>
      <w:proofErr w:type="gramStart"/>
      <w:r w:rsidRPr="000A77AE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0A77AE">
        <w:rPr>
          <w:rFonts w:ascii="Times New Roman" w:hAnsi="Times New Roman" w:cs="Times New Roman"/>
          <w:sz w:val="28"/>
          <w:szCs w:val="28"/>
          <w:lang w:val="ru-RU"/>
        </w:rPr>
        <w:t>і та опадах</w:t>
      </w:r>
    </w:p>
    <w:p w:rsidR="00457E49" w:rsidRPr="00457E49" w:rsidRDefault="00457E49" w:rsidP="00A82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E49">
        <w:rPr>
          <w:rFonts w:ascii="Times New Roman" w:hAnsi="Times New Roman" w:cs="Times New Roman"/>
          <w:b/>
          <w:sz w:val="28"/>
          <w:szCs w:val="28"/>
          <w:lang w:val="ru-RU"/>
        </w:rPr>
        <w:t>Основні забруднювальні речовини в атмосферному пові</w:t>
      </w:r>
      <w:proofErr w:type="gramStart"/>
      <w:r w:rsidRPr="00457E49">
        <w:rPr>
          <w:rFonts w:ascii="Times New Roman" w:hAnsi="Times New Roman" w:cs="Times New Roman"/>
          <w:b/>
          <w:sz w:val="28"/>
          <w:szCs w:val="28"/>
          <w:lang w:val="ru-RU"/>
        </w:rPr>
        <w:t>тр</w:t>
      </w:r>
      <w:proofErr w:type="gramEnd"/>
      <w:r w:rsidRPr="00457E49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</w:p>
    <w:p w:rsidR="00457E49" w:rsidRDefault="00457E49" w:rsidP="00457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  <w:sectPr w:rsidR="00457E4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51A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Пил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Діоксид сірки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Оксид вуглецю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Свинець та його сполуки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Діоксид азоту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Бен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а)пірен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Формальдегід</w:t>
      </w:r>
    </w:p>
    <w:p w:rsidR="00457E49" w:rsidRDefault="00457E49" w:rsidP="00DA1A9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Радіоактивні речовини (за погодженим переліком).</w:t>
      </w:r>
    </w:p>
    <w:p w:rsidR="00457E49" w:rsidRPr="00A82445" w:rsidRDefault="00457E49" w:rsidP="00DA1A93">
      <w:pPr>
        <w:pStyle w:val="a3"/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ru-RU"/>
        </w:rPr>
        <w:sectPr w:rsidR="00457E49" w:rsidRPr="00A82445" w:rsidSect="00457E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E49" w:rsidRPr="00A82445" w:rsidRDefault="00457E49" w:rsidP="00A8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445">
        <w:rPr>
          <w:rFonts w:ascii="Times New Roman" w:hAnsi="Times New Roman" w:cs="Times New Roman"/>
          <w:b/>
          <w:sz w:val="28"/>
          <w:szCs w:val="28"/>
        </w:rPr>
        <w:lastRenderedPageBreak/>
        <w:t>Додаткові інгредієнти атмосферних опадів</w:t>
      </w:r>
    </w:p>
    <w:p w:rsidR="00457E49" w:rsidRDefault="00457E49" w:rsidP="00DA1A93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  <w:sectPr w:rsidR="00457E49" w:rsidSect="00457E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57E49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Сульфати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Хлор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Азот амонієвий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Нітрати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Гідрокарбонати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Калій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Кальцій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Магній</w:t>
      </w:r>
    </w:p>
    <w:p w:rsid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</w:p>
    <w:p w:rsidR="00457E49" w:rsidRPr="00457E49" w:rsidRDefault="00457E49" w:rsidP="00DA1A93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Кислотність</w:t>
      </w:r>
    </w:p>
    <w:p w:rsidR="00457E49" w:rsidRDefault="00457E49" w:rsidP="00457E49">
      <w:pPr>
        <w:rPr>
          <w:rFonts w:ascii="Times New Roman" w:hAnsi="Times New Roman" w:cs="Times New Roman"/>
          <w:sz w:val="28"/>
          <w:szCs w:val="28"/>
          <w:lang w:val="uk-UA"/>
        </w:rPr>
        <w:sectPr w:rsidR="00457E49" w:rsidSect="00457E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4F4B" w:rsidRPr="00A5717D" w:rsidRDefault="00E04F4B" w:rsidP="00E04F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firstLine="504"/>
        <w:rPr>
          <w:rFonts w:ascii="Times New Roman" w:hAnsi="Times New Roman" w:cs="Times New Roman"/>
          <w:sz w:val="28"/>
          <w:szCs w:val="28"/>
        </w:rPr>
      </w:pPr>
      <w:r w:rsidRPr="00A5717D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СП</w:t>
      </w:r>
      <w:r w:rsidRPr="00A5717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т</w:t>
      </w:r>
      <w:r w:rsidRPr="00A571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571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5717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71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5717D">
        <w:rPr>
          <w:rFonts w:ascii="Times New Roman" w:hAnsi="Times New Roman" w:cs="Times New Roman"/>
          <w:sz w:val="28"/>
          <w:szCs w:val="28"/>
          <w:lang w:val="ru-RU"/>
        </w:rPr>
        <w:t>це об'єм повітря,</w:t>
      </w:r>
      <w:r w:rsidRPr="00A571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5717D">
        <w:rPr>
          <w:rFonts w:ascii="Times New Roman" w:hAnsi="Times New Roman" w:cs="Times New Roman"/>
          <w:sz w:val="28"/>
          <w:szCs w:val="28"/>
          <w:lang w:val="ru-RU"/>
        </w:rPr>
        <w:t>необхідний для розбавлення викидів</w:t>
      </w:r>
      <w:r w:rsidRPr="00A571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5717D">
        <w:rPr>
          <w:rFonts w:ascii="Times New Roman" w:hAnsi="Times New Roman" w:cs="Times New Roman"/>
          <w:sz w:val="28"/>
          <w:szCs w:val="28"/>
          <w:lang w:val="ru-RU"/>
        </w:rPr>
        <w:t xml:space="preserve">потужністю </w:t>
      </w:r>
      <w:r w:rsidRPr="00A5717D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A571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571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A571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717D">
        <w:rPr>
          <w:rFonts w:ascii="Times New Roman" w:hAnsi="Times New Roman" w:cs="Times New Roman"/>
          <w:sz w:val="28"/>
          <w:szCs w:val="28"/>
        </w:rPr>
        <w:t xml:space="preserve">івня </w:t>
      </w:r>
      <w:r w:rsidRPr="00A5717D">
        <w:rPr>
          <w:rFonts w:ascii="Times New Roman" w:hAnsi="Times New Roman" w:cs="Times New Roman"/>
          <w:i/>
          <w:iCs/>
          <w:sz w:val="28"/>
          <w:szCs w:val="28"/>
        </w:rPr>
        <w:t>ГДК</w:t>
      </w:r>
      <w:r w:rsidRPr="00A571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cд</w:t>
      </w:r>
      <w:r w:rsidRPr="00A5717D">
        <w:rPr>
          <w:rFonts w:ascii="Times New Roman" w:hAnsi="Times New Roman" w:cs="Times New Roman"/>
          <w:sz w:val="28"/>
          <w:szCs w:val="28"/>
        </w:rPr>
        <w:t xml:space="preserve"> </w:t>
      </w:r>
      <w:r w:rsidRPr="00A5717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571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20"/>
        <w:gridCol w:w="200"/>
        <w:gridCol w:w="1020"/>
        <w:gridCol w:w="1300"/>
      </w:tblGrid>
      <w:tr w:rsidR="00E04F4B" w:rsidRPr="00CD20C9" w:rsidTr="00292B32">
        <w:trPr>
          <w:trHeight w:val="256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9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>CП</w:t>
            </w:r>
            <w:r w:rsidRPr="00CD20C9">
              <w:rPr>
                <w:rFonts w:ascii="Times New Roman" w:hAnsi="Times New Roman" w:cs="Times New Roman"/>
                <w:i/>
                <w:iCs/>
                <w:w w:val="95"/>
                <w:sz w:val="23"/>
                <w:szCs w:val="23"/>
                <w:vertAlign w:val="subscript"/>
              </w:rPr>
              <w:t>mi</w:t>
            </w:r>
            <w:r w:rsidRPr="00CD20C9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 xml:space="preserve">  </w:t>
            </w:r>
            <w:r w:rsidRPr="00CD20C9">
              <w:rPr>
                <w:rFonts w:ascii="Times New Roman" w:hAnsi="Times New Roman" w:cs="Times New Roman"/>
                <w:w w:val="95"/>
                <w:sz w:val="20"/>
                <w:szCs w:val="20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9">
              <w:rPr>
                <w:rFonts w:ascii="Times New Roman" w:hAnsi="Times New Roman" w:cs="Times New Roman"/>
                <w:i/>
                <w:iCs/>
                <w:sz w:val="29"/>
                <w:szCs w:val="29"/>
                <w:vertAlign w:val="superscript"/>
              </w:rPr>
              <w:t>M</w:t>
            </w:r>
            <w:r w:rsidRPr="00CD20C9"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 xml:space="preserve"> 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4B" w:rsidRPr="00CD20C9" w:rsidTr="00292B32">
        <w:trPr>
          <w:trHeight w:val="120"/>
        </w:trPr>
        <w:tc>
          <w:tcPr>
            <w:tcW w:w="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9">
              <w:rPr>
                <w:rFonts w:ascii="Times New Roman" w:hAnsi="Times New Roman" w:cs="Times New Roman"/>
                <w:i/>
                <w:iCs/>
                <w:w w:val="96"/>
                <w:sz w:val="20"/>
                <w:szCs w:val="20"/>
              </w:rPr>
              <w:t>ГДК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4F4B" w:rsidRPr="00CD20C9" w:rsidTr="00292B32">
        <w:trPr>
          <w:trHeight w:val="15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0C9">
              <w:rPr>
                <w:rFonts w:ascii="Times New Roman" w:hAnsi="Times New Roman" w:cs="Times New Roman"/>
                <w:i/>
                <w:iCs/>
                <w:w w:val="94"/>
                <w:sz w:val="12"/>
                <w:szCs w:val="12"/>
              </w:rPr>
              <w:t>сдi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F4B" w:rsidRPr="00CD20C9" w:rsidRDefault="00E04F4B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CD20C9" w:rsidRPr="00A5717D" w:rsidRDefault="00CD20C9" w:rsidP="00A5717D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17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Забруднювальні речовини в атмосферному пові</w:t>
      </w:r>
      <w:proofErr w:type="gramStart"/>
      <w:r w:rsidRPr="00A5717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A5717D">
        <w:rPr>
          <w:rFonts w:ascii="Times New Roman" w:hAnsi="Times New Roman" w:cs="Times New Roman"/>
          <w:color w:val="000000"/>
          <w:sz w:val="28"/>
          <w:szCs w:val="28"/>
          <w:lang w:val="ru-RU"/>
        </w:rPr>
        <w:t>і,</w:t>
      </w:r>
      <w:r w:rsidRPr="00A5717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5717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 яких проводиться на регіональному (локальному) рівні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163"/>
        <w:gridCol w:w="388"/>
        <w:gridCol w:w="2215"/>
        <w:gridCol w:w="443"/>
        <w:gridCol w:w="2353"/>
        <w:gridCol w:w="111"/>
        <w:gridCol w:w="415"/>
        <w:gridCol w:w="2050"/>
      </w:tblGrid>
      <w:tr w:rsidR="00CD20C9" w:rsidTr="00320457">
        <w:trPr>
          <w:trHeight w:val="1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D20C9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Аміак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Кислота азотна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Сірководень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Сажа</w:t>
            </w:r>
          </w:p>
        </w:tc>
      </w:tr>
      <w:tr w:rsidR="00CD20C9" w:rsidTr="00320457">
        <w:trPr>
          <w:trHeight w:val="22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20C9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Анілін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Кислота сірчана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Етилбензол</w:t>
            </w:r>
          </w:p>
        </w:tc>
      </w:tr>
      <w:tr w:rsidR="00CD20C9" w:rsidTr="00320457">
        <w:trPr>
          <w:trHeight w:val="22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20C9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Бензол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Водень хлористий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Оксид азоту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</w:t>
            </w:r>
          </w:p>
        </w:tc>
      </w:tr>
      <w:tr w:rsidR="00CD20C9" w:rsidTr="00320457">
        <w:trPr>
          <w:trHeight w:val="22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20C9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Озон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Фтористий водень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Ртуть та її сполуки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Толуол</w:t>
            </w:r>
          </w:p>
        </w:tc>
      </w:tr>
      <w:tr w:rsidR="00CD20C9" w:rsidTr="00320457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20C9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Водень ціаністий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Сірковуглець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Хлоранілін</w:t>
            </w:r>
          </w:p>
        </w:tc>
      </w:tr>
      <w:tr w:rsidR="00CD20C9" w:rsidTr="00320457">
        <w:trPr>
          <w:trHeight w:val="198"/>
        </w:trPr>
        <w:tc>
          <w:tcPr>
            <w:tcW w:w="15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w w:val="94"/>
                <w:sz w:val="18"/>
                <w:szCs w:val="18"/>
              </w:rPr>
              <w:t>21. Залізо та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його сполуки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w w:val="84"/>
                <w:sz w:val="18"/>
                <w:szCs w:val="18"/>
              </w:rPr>
              <w:t>Нікель та його сполуки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D20C9" w:rsidTr="00320457">
        <w:trPr>
          <w:trHeight w:val="227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 Кадмій та його сполуки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w w:val="95"/>
                <w:sz w:val="18"/>
                <w:szCs w:val="18"/>
              </w:rPr>
              <w:t>Хром та його сполуки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C9" w:rsidTr="00320457">
        <w:trPr>
          <w:trHeight w:val="227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 Мідь та її сполуки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w w:val="96"/>
                <w:sz w:val="18"/>
                <w:szCs w:val="18"/>
              </w:rPr>
              <w:t>Цинк та його сполуки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C9" w:rsidTr="00320457">
        <w:trPr>
          <w:trHeight w:val="24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 Миш’як та його сполуки</w:t>
            </w:r>
          </w:p>
        </w:tc>
        <w:tc>
          <w:tcPr>
            <w:tcW w:w="53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0C9" w:rsidRPr="00320457" w:rsidRDefault="00CD20C9" w:rsidP="0029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 Марганець та його сполуки</w:t>
            </w:r>
          </w:p>
        </w:tc>
      </w:tr>
    </w:tbl>
    <w:p w:rsid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" w:right="80" w:firstLine="504"/>
        <w:jc w:val="both"/>
        <w:rPr>
          <w:rFonts w:ascii="Arial" w:hAnsi="Arial" w:cs="Arial"/>
          <w:sz w:val="20"/>
          <w:szCs w:val="20"/>
          <w:lang w:val="uk-UA"/>
        </w:rPr>
      </w:pPr>
    </w:p>
    <w:p w:rsidR="003C7937" w:rsidRPr="00A82445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937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організації контролю вмісту в атмосфері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C7937">
        <w:rPr>
          <w:rFonts w:ascii="Times New Roman" w:hAnsi="Times New Roman" w:cs="Times New Roman"/>
          <w:sz w:val="28"/>
          <w:szCs w:val="28"/>
          <w:lang w:val="uk-UA"/>
        </w:rPr>
        <w:t xml:space="preserve">-ої домішки оцінюється за співвідношенням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3C793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т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3C79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82445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</w:t>
      </w:r>
      <w:r w:rsidRPr="00A8244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т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82445">
        <w:rPr>
          <w:rFonts w:ascii="Times New Roman" w:hAnsi="Times New Roman" w:cs="Times New Roman"/>
          <w:sz w:val="28"/>
          <w:szCs w:val="28"/>
          <w:lang w:val="uk-UA"/>
        </w:rPr>
        <w:t xml:space="preserve"> ≥ 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82445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82445">
        <w:rPr>
          <w:rFonts w:ascii="Times New Roman" w:hAnsi="Times New Roman" w:cs="Times New Roman"/>
          <w:sz w:val="28"/>
          <w:szCs w:val="28"/>
          <w:lang w:val="uk-UA"/>
        </w:rPr>
        <w:t xml:space="preserve">-у </w:t>
      </w:r>
      <w:r w:rsidRPr="00A824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домішку потрібно вимірювати.</w:t>
      </w:r>
    </w:p>
    <w:p w:rsidR="003C7937" w:rsidRPr="00A82445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C7937" w:rsidRPr="00A82445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445">
        <w:rPr>
          <w:rFonts w:ascii="Times New Roman" w:hAnsi="Times New Roman" w:cs="Times New Roman"/>
          <w:sz w:val="28"/>
          <w:szCs w:val="28"/>
          <w:lang w:val="uk-UA"/>
        </w:rPr>
        <w:t xml:space="preserve">На опорних стаціонарних постах організовуються спостереження за вмістом основних ЗР: пилу, 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СО,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A8244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A8244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A82445">
        <w:rPr>
          <w:rFonts w:ascii="Times New Roman" w:hAnsi="Times New Roman" w:cs="Times New Roman"/>
          <w:sz w:val="28"/>
          <w:szCs w:val="28"/>
          <w:lang w:val="uk-UA"/>
        </w:rPr>
        <w:t xml:space="preserve"> і за специфічними речовинами, характерними для промислових викидів більшості підприємств міста.</w:t>
      </w:r>
    </w:p>
    <w:p w:rsidR="003C7937" w:rsidRPr="00A82445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На неопорних і маршрутних постах проводять спостереження за вмістом специфічних домішок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іоритетного списку, характерних для прилеглих джерел викидів. Спостереження за основними домішками виконують за скороченою програмою. Одна специфічна домішка контролюється на 2–3 стаціонарних постах одночасно.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ім речовин з пріоритетного списку, в обов'язковий перелік речовин для контролю включають ті, точні обсяги викидів яких встановити досить складно:</w:t>
      </w:r>
    </w:p>
    <w:p w:rsidR="003C7937" w:rsidRPr="003C7937" w:rsidRDefault="003C7937" w:rsidP="003C7937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 w:hanging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розчинні сульфати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у містах з населенням більше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тис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сіб;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3C7937" w:rsidRPr="003C7937" w:rsidRDefault="003C7937" w:rsidP="003C7937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80" w:hanging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бен</w:t>
      </w:r>
      <w:proofErr w:type="gramStart"/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з(</w:t>
      </w:r>
      <w:proofErr w:type="gramEnd"/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а)пірен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у містах з населенням більш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тис.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осіб та в містах з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великими джерелами викидів;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формальдегід і сполуки свинцю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істах з населенням більш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тис.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, оскільки ці речовини викидаються переважно автотранспортом;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4" w:lineRule="auto"/>
        <w:ind w:left="460" w:right="80" w:hanging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важкі метали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у містах з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ідприємствами чорної і кольорової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металургії; </w:t>
      </w:r>
    </w:p>
    <w:p w:rsidR="003C7937" w:rsidRPr="003C7937" w:rsidRDefault="003C7937" w:rsidP="003C7937">
      <w:pPr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34" w:lineRule="auto"/>
        <w:ind w:left="460" w:right="80" w:hanging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пестициди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істах,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розташованих поблизу великих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сільськогосподарських територій, де застосовують хімічні засоби захисту рослин.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0" w:right="80"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Перелік ЗР, що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ідлягають контролю, переглядається щоразу при інвентаризації промислових викидів, реконструкції і появі нових підприємств, але не рідше 1 разу на 3 роки.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ідфакельних вимірюваннях спостереження за основними домішками не проводять, тому що важко виділити внесок досліджуваної речовини у РЗА цими домішками.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ід факелом ведуть спостереження за специфічними домішками, характерними для викидів даного підприємства. Програму складають таким чином, щоб вимі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ів концентрації даної домішки за рік на кожній заданій відстані від джерела було не менше 50.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Щорічно складається програма роботи кожного поста спостережень. У першому рядку –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іоритет кожної речовини в місті; у другому – для кожного поста відзначаються ті речовини, що вимірюються на даному пості.</w:t>
      </w:r>
    </w:p>
    <w:p w:rsidR="003C7937" w:rsidRDefault="003C7937" w:rsidP="003C7937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457E49" w:rsidRDefault="003C7937" w:rsidP="003C7937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C793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Методи відбору проб </w:t>
      </w:r>
      <w:proofErr w:type="gramStart"/>
      <w:r w:rsidRPr="003C7937">
        <w:rPr>
          <w:rFonts w:ascii="Times New Roman" w:hAnsi="Times New Roman" w:cs="Times New Roman"/>
          <w:b/>
          <w:iCs/>
          <w:sz w:val="28"/>
          <w:szCs w:val="28"/>
          <w:lang w:val="ru-RU"/>
        </w:rPr>
        <w:t>атмосферного</w:t>
      </w:r>
      <w:proofErr w:type="gramEnd"/>
      <w:r w:rsidRPr="003C793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повітря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Визначення концентрацій більшості ЗР в</w:t>
      </w: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атмосферному пові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 виконують, як правило, лабораторними методами. Відбі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проб атмосферного повітря є важливою складовою аналізу його якості і здійснюється двома основними методами, а саме: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аспіраційним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методом заповнення посудин обмеженої ємності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Відбі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проб першим методом здійснюється шляхом аспірації певного об’єму повітря через поглинальний прилад, заповнений твердим або рідким сорбентом для вловлювання забруднювальної речовини, або через аерозольний фільтр, що затримує частинки, які містяться в повітрі.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результаті аспірації відбувається концентрування ЗР у поглинальному розчині (наприклад, розчинення і хімічна реакція аналізованої газоподібної забруднювальної речовини) </w:t>
      </w:r>
      <w:r w:rsidR="00A82445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твердому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сорбенті (силікагель, а</w:t>
      </w:r>
      <w:r w:rsidR="00A82445">
        <w:rPr>
          <w:rFonts w:ascii="Times New Roman" w:hAnsi="Times New Roman" w:cs="Times New Roman"/>
          <w:sz w:val="28"/>
          <w:szCs w:val="28"/>
          <w:lang w:val="ru-RU"/>
        </w:rPr>
        <w:t>люмогель, подрібнене скло тощо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). Поглинальні прилади найчастіше мають </w:t>
      </w:r>
      <w:r w:rsidRPr="003C7937">
        <w:rPr>
          <w:rFonts w:ascii="Times New Roman" w:hAnsi="Times New Roman" w:cs="Times New Roman"/>
          <w:sz w:val="28"/>
          <w:szCs w:val="28"/>
        </w:rPr>
        <w:t>U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-подібну форму і виробляються з інертних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іалів: скло, фторопласт. Для вловлювання з повітря зважених частинок (пилу, сажі) використовуються фільтри, виготовлені з паперу або з волокнистих полімерних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іалів (поліхлорвінілу, полістиролу, ацетилцелюлози), а також мембранні </w:t>
      </w:r>
      <w:r w:rsidR="00A8244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скловолокнисті. Фільтр встановлюється в металевому фільтроутримувачі з конусною насадкою.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Параметри відбору проб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, такі як витрата повітря і тривалість його аспірації через поглинальний прилад, тип поглинального приладу чи фільтра встановлюються в залежності від ЗР. Для достовірного визначення концентрації ЗР витрата повітря повинна складати десятки і сотні лі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ів за хвилину.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Другий метод відбору проб атмосферного повітря – метод заповнення посудин обмеженої ємності –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ідрозділяють на:</w:t>
      </w:r>
    </w:p>
    <w:p w:rsidR="003C7937" w:rsidRPr="00A82445" w:rsidRDefault="003C7937" w:rsidP="00A8244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вакуумний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>коли з герметично закритої посудини відкачують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>повітря, а поті</w:t>
      </w:r>
      <w:proofErr w:type="gramStart"/>
      <w:r w:rsidRPr="00A8244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A82445">
        <w:rPr>
          <w:rFonts w:ascii="Times New Roman" w:hAnsi="Times New Roman" w:cs="Times New Roman"/>
          <w:sz w:val="28"/>
          <w:szCs w:val="28"/>
          <w:lang w:val="ru-RU"/>
        </w:rPr>
        <w:t xml:space="preserve">, безпосередньо в місці відбору проби посудину відкривають; </w:t>
      </w:r>
    </w:p>
    <w:p w:rsidR="003C7937" w:rsidRPr="00A82445" w:rsidRDefault="003C7937" w:rsidP="00A8244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метод примусового продування посудини 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>10-кратним об’ємом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 xml:space="preserve">повітря в місці відбору проби, </w:t>
      </w:r>
      <w:proofErr w:type="gramStart"/>
      <w:r w:rsidRPr="00A824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82445">
        <w:rPr>
          <w:rFonts w:ascii="Times New Roman" w:hAnsi="Times New Roman" w:cs="Times New Roman"/>
          <w:sz w:val="28"/>
          <w:szCs w:val="28"/>
          <w:lang w:val="ru-RU"/>
        </w:rPr>
        <w:t xml:space="preserve">ісля чого посудину герметизують; </w:t>
      </w:r>
    </w:p>
    <w:p w:rsidR="00A82445" w:rsidRDefault="003C7937" w:rsidP="00A8244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спосіб витіснення 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 xml:space="preserve">попередньо залитої в посудину інертної </w:t>
      </w:r>
      <w:proofErr w:type="gramStart"/>
      <w:r w:rsidRPr="00A8244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82445">
        <w:rPr>
          <w:rFonts w:ascii="Times New Roman" w:hAnsi="Times New Roman" w:cs="Times New Roman"/>
          <w:sz w:val="28"/>
          <w:szCs w:val="28"/>
          <w:lang w:val="ru-RU"/>
        </w:rPr>
        <w:t>ідини</w:t>
      </w:r>
      <w:r w:rsidRPr="00A824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82445">
        <w:rPr>
          <w:rFonts w:ascii="Times New Roman" w:hAnsi="Times New Roman" w:cs="Times New Roman"/>
          <w:sz w:val="28"/>
          <w:szCs w:val="28"/>
          <w:lang w:val="ru-RU"/>
        </w:rPr>
        <w:t xml:space="preserve">повітрям на місці відбору проби, після чого посудину герметизують. </w:t>
      </w:r>
    </w:p>
    <w:p w:rsidR="003C7937" w:rsidRPr="00A82445" w:rsidRDefault="003C7937" w:rsidP="00A8244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45">
        <w:rPr>
          <w:rFonts w:ascii="Times New Roman" w:hAnsi="Times New Roman" w:cs="Times New Roman"/>
          <w:sz w:val="28"/>
          <w:szCs w:val="28"/>
          <w:lang w:val="ru-RU"/>
        </w:rPr>
        <w:t>Як посудину використовують звичайні скляні ємності. Найчастіше ці методи використовують для визначення оксиду вуглецю або інших газоподібних домішок, тип і походження яких неві</w:t>
      </w:r>
      <w:proofErr w:type="gramStart"/>
      <w:r w:rsidRPr="00A82445">
        <w:rPr>
          <w:rFonts w:ascii="Times New Roman" w:hAnsi="Times New Roman" w:cs="Times New Roman"/>
          <w:sz w:val="28"/>
          <w:szCs w:val="28"/>
          <w:lang w:val="ru-RU"/>
        </w:rPr>
        <w:t>доме</w:t>
      </w:r>
      <w:proofErr w:type="gramEnd"/>
      <w:r w:rsidRPr="00A82445">
        <w:rPr>
          <w:rFonts w:ascii="Times New Roman" w:hAnsi="Times New Roman" w:cs="Times New Roman"/>
          <w:sz w:val="28"/>
          <w:szCs w:val="28"/>
          <w:lang w:val="ru-RU"/>
        </w:rPr>
        <w:t xml:space="preserve">. Для зважених </w:t>
      </w:r>
      <w:proofErr w:type="gramStart"/>
      <w:r w:rsidRPr="00A82445">
        <w:rPr>
          <w:rFonts w:ascii="Times New Roman" w:hAnsi="Times New Roman" w:cs="Times New Roman"/>
          <w:sz w:val="28"/>
          <w:szCs w:val="28"/>
          <w:lang w:val="ru-RU"/>
        </w:rPr>
        <w:t>домішок застосують тільки аспіраційний метод відбору проб повітря</w:t>
      </w:r>
      <w:proofErr w:type="gramEnd"/>
      <w:r w:rsidRPr="00A82445">
        <w:rPr>
          <w:rFonts w:ascii="Times New Roman" w:hAnsi="Times New Roman" w:cs="Times New Roman"/>
          <w:sz w:val="28"/>
          <w:szCs w:val="28"/>
          <w:lang w:val="ru-RU"/>
        </w:rPr>
        <w:t>, а для газоподібних – обидва.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Відбі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проб повітря здійснюється на стаціонарних чи пересувних постах, укомплектованих пристроями для відбору проб або автоматичними газоаналізаторами для безперервного визначення концентрації ЗР, а також приладами для метеорологічних спостережень.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Висота і тривалість відбору проб.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При визначенні приземної</w:t>
      </w: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концентрації домішки в атмосферному пові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 відбір проб проводиться на висоті 1,5-3,5 м від поверхні </w:t>
      </w:r>
      <w:r w:rsidR="00A82445">
        <w:rPr>
          <w:rFonts w:ascii="Times New Roman" w:hAnsi="Times New Roman" w:cs="Times New Roman"/>
          <w:sz w:val="28"/>
          <w:szCs w:val="28"/>
          <w:lang w:val="ru-RU"/>
        </w:rPr>
        <w:t>грунту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35" w:lineRule="auto"/>
        <w:ind w:left="500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Проби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ідрозділяються, в залежності від режиму відбору, на:</w:t>
      </w: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разові,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при тривалості відбору 20-30 хвилин; </w:t>
      </w: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2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середні добові,</w:t>
      </w: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коли відбі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здійснюється</w:t>
      </w: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безперервно</w:t>
      </w: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годин або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дискретно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через рівні інтервали часу протягом доби (відбирають не менше 4 разових проб). </w:t>
      </w: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Засоби вимірювання.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На стаціонарних постах засоби вимірювання</w:t>
      </w: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розміщуються в комплектних лабораторіях «Пост-1» і «Пост-2», а на маршрутних і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ідфакельних постах – у лабораторії «Атмосфера- </w:t>
      </w:r>
      <w:r w:rsidRPr="003C7937">
        <w:rPr>
          <w:rFonts w:ascii="Times New Roman" w:hAnsi="Times New Roman" w:cs="Times New Roman"/>
          <w:sz w:val="28"/>
          <w:szCs w:val="28"/>
        </w:rPr>
        <w:t>II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Для відбору проб повітря використов</w:t>
      </w:r>
      <w:r w:rsidR="00A82445">
        <w:rPr>
          <w:rFonts w:ascii="Times New Roman" w:hAnsi="Times New Roman" w:cs="Times New Roman"/>
          <w:sz w:val="28"/>
          <w:szCs w:val="28"/>
          <w:lang w:val="ru-RU"/>
        </w:rPr>
        <w:t>ують електроаспіратори ЕА-1, ЕА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, ЕА-2С, ЕА-3 і відбірники повітря, тобто збудники прокачування повітря.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ЕА-1 застосовують для відбору разових проб газоподібних ЗР; ЕА-2С – для добових проб пилу на 1 фільтр у циклічному чи безперервному режимі на «Пост-2»; ЕА-3 – для разових і добових проб великого обсягу (пилу і газових ЗР) на 1 фільтр і в один поглинальний прилад на станціях фонового моніторингу. </w:t>
      </w:r>
      <w:proofErr w:type="gramEnd"/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Відбірники повітря «Компонент» застосовують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цикл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ічного відбору разових проб АП у поглинальні прилади з метою подальшого визначення концентрацій газоподібних домішок. Тут передбачений автоматичний відбі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32 проб по чотирьох каналах на «Пост-2».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Пристрої, які реєструють обсяг повітря, що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пропускається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, це: реометри, ротаметри й інші витратоміри. Електроаспіратори ЕА-1, ЕА-2, ЕА-3 складаються зі збудника витрати АП (ротаційний насос, пилосос, вихровий вентилятор), фільтроутримувача, блока аспірації з витратоміром (ротаметром з нагрівачем, що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включається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при негативних температурах) і пультом керування.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Повітровідбірник «Компонент» складається з вакуумного насоса і корпуса, у якому – реле часу, вакуумметр, система клапанів. </w:t>
      </w:r>
      <w:r w:rsidRPr="003C7937">
        <w:rPr>
          <w:rFonts w:ascii="Times New Roman" w:hAnsi="Times New Roman" w:cs="Times New Roman"/>
          <w:sz w:val="28"/>
          <w:szCs w:val="28"/>
        </w:rPr>
        <w:t xml:space="preserve">Забезпечується сталість витрати АП. </w:t>
      </w:r>
    </w:p>
    <w:p w:rsidR="003C7937" w:rsidRPr="00861B33" w:rsidRDefault="00861B33" w:rsidP="00861B33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4" w:lineRule="auto"/>
        <w:ind w:left="0" w:firstLine="4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лабораторії «Пост-1» </w:t>
      </w:r>
      <w:r w:rsidR="003C7937"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розміщується основне і допоміжне </w:t>
      </w:r>
      <w:r w:rsidR="003C7937" w:rsidRPr="00861B33">
        <w:rPr>
          <w:rFonts w:ascii="Times New Roman" w:hAnsi="Times New Roman" w:cs="Times New Roman"/>
          <w:sz w:val="28"/>
          <w:szCs w:val="28"/>
          <w:lang w:val="ru-RU"/>
        </w:rPr>
        <w:t>устаткування для проведення спостережень за РЗА і вимірювання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937" w:rsidRPr="00861B33">
        <w:rPr>
          <w:rFonts w:ascii="Times New Roman" w:hAnsi="Times New Roman" w:cs="Times New Roman"/>
          <w:sz w:val="28"/>
          <w:szCs w:val="28"/>
          <w:lang w:val="ru-RU"/>
        </w:rPr>
        <w:t xml:space="preserve">метеопараметрів. Працює при температурі 10-35 </w:t>
      </w:r>
      <w:r w:rsidR="003C7937" w:rsidRPr="00861B3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3C7937" w:rsidRPr="00861B33">
        <w:rPr>
          <w:rFonts w:ascii="Times New Roman" w:hAnsi="Times New Roman" w:cs="Times New Roman"/>
          <w:sz w:val="28"/>
          <w:szCs w:val="28"/>
          <w:lang w:val="ru-RU"/>
        </w:rPr>
        <w:t>С, відносній вологості до 80% і атмосферному тиску – 900-1040 ГПа.</w:t>
      </w:r>
      <w:proofErr w:type="gramEnd"/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Устаткування включа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є: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автоматичні газоаналізатори ГМК-3 (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) і ГКП-1 (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), системи для проведення відбору проб і метеорологічних спостережень, щоглу для встановлення датчика вітру, систему електропостачання та освітлення.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іни павільйону з термоізолювального матеріалу: усередині – пластик, зовні – дюралюмінієві осередки.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іальній камері розташовується метеостанція М-49.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чотирьох сторін павільйону на висоті 1,5 м – люки з кришками, в які можна вставити блок для відбору проб на пил і сажу . Над кришкою на висоті 50 см розташований забірний трубопровід (з фторопласту чи скла) із захисним ковпачком для відбору газоподібних ЗР.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«Пост-2» ві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ізняється наявністю автоматичного повітрозабірника «Компонент» і ЕА-2С. Для вимірювання метеопараметрі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у лабораторії використовується автоматичний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метеоролог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ічний комплекс.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Пересувна лабораторія «Атмосфер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ІІ» призначена для визначення рівня забруднення атмосфери і вимірювання метеопараметрів при проведенні маршрутних і підфакельних спостережень. Це – автофургон на шасі УАЗ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у приладовому відсіку на висоті 2,6 м якого встановлені прилади й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устаткування для відбору проб на газові домішки, сажу і пил; газоаналізатори, вимірювальний пульт М- 49 (або М- 47) і пульт управління. На даху розташовано датчик швидкості і напрямку вітру, виносну штангу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датчиків температури, вологості та анеморумбометр.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У 2005 р. ЗАТ «Украналіт» розроблено автоматичний пост спостереження за станом атмосферно</w:t>
      </w:r>
      <w:r w:rsidR="00861B33">
        <w:rPr>
          <w:rFonts w:ascii="Times New Roman" w:hAnsi="Times New Roman" w:cs="Times New Roman"/>
          <w:sz w:val="28"/>
          <w:szCs w:val="28"/>
          <w:lang w:val="ru-RU"/>
        </w:rPr>
        <w:t>го повітря «Атмосфера-10»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. Є також напівавтоматичні переносні прилад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індикатори на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(«Атмосфера-1»),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Cl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3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(«Атмосфера-2»), які застосовують у випадках аварій.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Умови відбору проб.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При відборі разових проб повітря необхідно</w:t>
      </w:r>
      <w:r w:rsidRPr="003C79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забезпечувати умови ізокінетичності – швидкість повітря, що пропускається через фільтр, повинна дорівнювати швидкості потоку, що набіга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є.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Вирівнювання швидкостей здійснюється за рахунок застосування конусних насадок, вибір яких залежить від швидкості вітру. Фільтроутримувач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бути орієнтований назустріч вітровому потоку.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При добовому відборі проб повітря в умовах високої запиленості маса пилу на фільтрі може перевищити його пилоємність (5 мг/см</w:t>
      </w:r>
      <w:proofErr w:type="gramStart"/>
      <w:r w:rsidRPr="003C793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При відборі проб при мінусових температурах повітря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ідігрівається до 20</w:t>
      </w:r>
      <w:r w:rsidRPr="003C793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С. Один раз на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ісяць повітряні комунікації очищають від пилу, промивають теплою мильною водою, потім чистою водою зі спиртом і просушують.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861B33">
      <w:pPr>
        <w:widowControl w:val="0"/>
        <w:overflowPunct w:val="0"/>
        <w:autoSpaceDE w:val="0"/>
        <w:autoSpaceDN w:val="0"/>
        <w:adjustRightInd w:val="0"/>
        <w:spacing w:after="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>Сорбційні трубки встановлюють строго вертикально, шаром сорбенту вниз, щоб пові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тря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проходило через шар сорбенту знизу вгору.</w:t>
      </w:r>
      <w:r w:rsidR="00861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При відборі проб повітря на фторид водню як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ідник повітря використовують тільки фторопласт. Проби повітря на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SC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повинні бути захищені від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>ітла.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Організація хі</w:t>
      </w:r>
      <w:proofErr w:type="gramStart"/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gramEnd"/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ічного аналізу проб.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При визначенні концентрації</w:t>
      </w:r>
      <w:r w:rsidRPr="003C79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домішки за допомогою ручних методів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ідбору проб і хімічного аналізу можуть виникнути помилкові результати.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Похибки</w:t>
      </w:r>
      <w:r w:rsidR="00861B33">
        <w:rPr>
          <w:rFonts w:ascii="Times New Roman" w:hAnsi="Times New Roman" w:cs="Times New Roman"/>
          <w:sz w:val="28"/>
          <w:szCs w:val="28"/>
          <w:lang w:val="ru-RU"/>
        </w:rPr>
        <w:t xml:space="preserve"> визначення концентра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цій домішки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відборі проб повітря зумовлені такими причинами: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numPr>
          <w:ilvl w:val="0"/>
          <w:numId w:val="8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33" w:lineRule="auto"/>
        <w:ind w:left="0" w:firstLine="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Похибка при визначенні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об’єму повітря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, що пройшло через поглинальний прилад;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numPr>
          <w:ilvl w:val="0"/>
          <w:numId w:val="8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60" w:lineRule="auto"/>
        <w:ind w:left="0" w:firstLine="2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Порушення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часу відбору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проб повітря – при зменшенні часу відбору проб повітря на хвилину похибка вимірювання збільшується на 5%; </w:t>
      </w:r>
    </w:p>
    <w:p w:rsidR="003C7937" w:rsidRPr="003C7937" w:rsidRDefault="003C7937" w:rsidP="003C7937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3" w:lineRule="auto"/>
        <w:ind w:left="500" w:hanging="2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Заниження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швидкості аспірації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(відсмоктування пилу); </w:t>
      </w:r>
    </w:p>
    <w:p w:rsidR="003C7937" w:rsidRPr="003C7937" w:rsidRDefault="003C7937" w:rsidP="003C7937">
      <w:pPr>
        <w:widowControl w:val="0"/>
        <w:numPr>
          <w:ilvl w:val="0"/>
          <w:numId w:val="8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spacing w:after="0" w:line="234" w:lineRule="auto"/>
        <w:ind w:left="0" w:firstLine="2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Сорбція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чи часткова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десорбція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речовини,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що визначається на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поверхні відбірника, якщо використовують гумові шланги;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3C7937">
      <w:pPr>
        <w:widowControl w:val="0"/>
        <w:numPr>
          <w:ilvl w:val="0"/>
          <w:numId w:val="8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4" w:lineRule="auto"/>
        <w:ind w:left="0" w:firstLine="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Потрапляння пилу в пробу повітря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його накопичення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відбірнику і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сорбція ЗР на часточках пилу, що призводить до заниження їх концентрації; </w:t>
      </w:r>
    </w:p>
    <w:p w:rsidR="003C7937" w:rsidRPr="003C7937" w:rsidRDefault="003C7937" w:rsidP="003C7937">
      <w:pPr>
        <w:widowControl w:val="0"/>
        <w:numPr>
          <w:ilvl w:val="0"/>
          <w:numId w:val="8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4" w:lineRule="auto"/>
        <w:ind w:left="0" w:firstLine="2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Недостатня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герметизація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системи відбору повітря або неправильне приєднання поглинальних приладів, що призводить до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ідсмоктування повітря. </w:t>
      </w:r>
    </w:p>
    <w:p w:rsidR="003C7937" w:rsidRPr="003C7937" w:rsidRDefault="003C7937" w:rsidP="003C793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Для запобігання перерахованих вище похибок регулярно (не </w:t>
      </w:r>
      <w:r w:rsidR="00861B33">
        <w:rPr>
          <w:rFonts w:ascii="Times New Roman" w:hAnsi="Times New Roman" w:cs="Times New Roman"/>
          <w:sz w:val="28"/>
          <w:szCs w:val="28"/>
          <w:lang w:val="ru-RU"/>
        </w:rPr>
        <w:t>менше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разу на місяць) необхідно проводити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калібрування електроаспіраторів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. Будь-які відхилення від необхідного режиму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ідбору проб повітря заносяться до 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журналу і враховуються при визначенні концентрацій ЗР. Як відбірник повітря використовують трубки тільки з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інертних </w:t>
      </w:r>
      <w:proofErr w:type="gramStart"/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</w:t>
      </w:r>
      <w:proofErr w:type="gramEnd"/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іалів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(скло, фторопласт). Систему відбору повітря варто прочищати не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ідше разу на місяць. Загальна довжина гумових з'єднань у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ідниках повітря не повинна перевищувати 10 мм. </w:t>
      </w:r>
    </w:p>
    <w:p w:rsidR="003C7937" w:rsidRPr="003C7937" w:rsidRDefault="003C7937" w:rsidP="003C793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937" w:rsidRPr="003C7937" w:rsidRDefault="003C7937" w:rsidP="00861B33">
      <w:pPr>
        <w:ind w:firstLine="5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Джерелами похибок є також порушення 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правил транспортування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і термінів збереження відібраних проб. Відразу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ісля відбору проб поглинальні прилади закривають заглушками. Особливо ретельно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відборі проб на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NH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3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Проби на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повинні оберігатись від потрапляння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ітла. При </w:t>
      </w:r>
      <w:r w:rsidRPr="003C7937">
        <w:rPr>
          <w:rFonts w:ascii="Times New Roman" w:hAnsi="Times New Roman" w:cs="Times New Roman"/>
          <w:sz w:val="28"/>
          <w:szCs w:val="28"/>
        </w:rPr>
        <w:t>t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&gt; 25°</w:t>
      </w:r>
      <w:r w:rsidRPr="003C7937">
        <w:rPr>
          <w:rFonts w:ascii="Times New Roman" w:hAnsi="Times New Roman" w:cs="Times New Roman"/>
          <w:sz w:val="28"/>
          <w:szCs w:val="28"/>
        </w:rPr>
        <w:t>C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проби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3C793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C793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C7937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розміщують </w:t>
      </w:r>
      <w:proofErr w:type="gramStart"/>
      <w:r w:rsidRPr="003C793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3C7937">
        <w:rPr>
          <w:rFonts w:ascii="Times New Roman" w:hAnsi="Times New Roman" w:cs="Times New Roman"/>
          <w:sz w:val="28"/>
          <w:szCs w:val="28"/>
          <w:lang w:val="ru-RU"/>
        </w:rPr>
        <w:t xml:space="preserve"> холодильнику чи у термосі з льодом.</w:t>
      </w:r>
    </w:p>
    <w:sectPr w:rsidR="003C7937" w:rsidRPr="003C7937" w:rsidSect="00457E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8F" w:rsidRDefault="00AA1E8F" w:rsidP="00A5717D">
      <w:pPr>
        <w:spacing w:after="0" w:line="240" w:lineRule="auto"/>
      </w:pPr>
      <w:r>
        <w:separator/>
      </w:r>
    </w:p>
  </w:endnote>
  <w:endnote w:type="continuationSeparator" w:id="0">
    <w:p w:rsidR="00AA1E8F" w:rsidRDefault="00AA1E8F" w:rsidP="00A5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551421"/>
      <w:docPartObj>
        <w:docPartGallery w:val="Page Numbers (Bottom of Page)"/>
        <w:docPartUnique/>
      </w:docPartObj>
    </w:sdtPr>
    <w:sdtEndPr/>
    <w:sdtContent>
      <w:p w:rsidR="00A5717D" w:rsidRDefault="00A571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33" w:rsidRPr="00861B33">
          <w:rPr>
            <w:noProof/>
            <w:lang w:val="ru-RU"/>
          </w:rPr>
          <w:t>6</w:t>
        </w:r>
        <w:r>
          <w:fldChar w:fldCharType="end"/>
        </w:r>
      </w:p>
    </w:sdtContent>
  </w:sdt>
  <w:p w:rsidR="00A5717D" w:rsidRDefault="00A57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8F" w:rsidRDefault="00AA1E8F" w:rsidP="00A5717D">
      <w:pPr>
        <w:spacing w:after="0" w:line="240" w:lineRule="auto"/>
      </w:pPr>
      <w:r>
        <w:separator/>
      </w:r>
    </w:p>
  </w:footnote>
  <w:footnote w:type="continuationSeparator" w:id="0">
    <w:p w:rsidR="00AA1E8F" w:rsidRDefault="00AA1E8F" w:rsidP="00A5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059"/>
    <w:multiLevelType w:val="hybridMultilevel"/>
    <w:tmpl w:val="0000127E"/>
    <w:lvl w:ilvl="0" w:tplc="00000035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9F"/>
    <w:multiLevelType w:val="hybridMultilevel"/>
    <w:tmpl w:val="00004CD4"/>
    <w:lvl w:ilvl="0" w:tplc="000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7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F225B3D"/>
    <w:multiLevelType w:val="hybridMultilevel"/>
    <w:tmpl w:val="73B6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6111E"/>
    <w:multiLevelType w:val="hybridMultilevel"/>
    <w:tmpl w:val="99CA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B4B98"/>
    <w:multiLevelType w:val="hybridMultilevel"/>
    <w:tmpl w:val="A3C4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83"/>
    <w:rsid w:val="000A77AE"/>
    <w:rsid w:val="00134783"/>
    <w:rsid w:val="00320457"/>
    <w:rsid w:val="003C7937"/>
    <w:rsid w:val="00457E49"/>
    <w:rsid w:val="00861B33"/>
    <w:rsid w:val="009B7D73"/>
    <w:rsid w:val="009F051A"/>
    <w:rsid w:val="00A5717D"/>
    <w:rsid w:val="00A82445"/>
    <w:rsid w:val="00AA1E8F"/>
    <w:rsid w:val="00CD20C9"/>
    <w:rsid w:val="00D21A12"/>
    <w:rsid w:val="00DA1A93"/>
    <w:rsid w:val="00E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17D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5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17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17D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5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17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2015-10-12T09:40:00Z</dcterms:created>
  <dcterms:modified xsi:type="dcterms:W3CDTF">2015-10-23T11:20:00Z</dcterms:modified>
</cp:coreProperties>
</file>