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1A" w:rsidRDefault="00F20C50" w:rsidP="00F20C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C50">
        <w:rPr>
          <w:rFonts w:ascii="Times New Roman" w:hAnsi="Times New Roman" w:cs="Times New Roman"/>
          <w:b/>
          <w:sz w:val="28"/>
          <w:szCs w:val="28"/>
          <w:lang w:val="uk-UA"/>
        </w:rPr>
        <w:t>Лекція 10</w:t>
      </w:r>
    </w:p>
    <w:p w:rsidR="00F20C50" w:rsidRPr="00634CB9" w:rsidRDefault="00F20C50" w:rsidP="00634C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CB9">
        <w:rPr>
          <w:rFonts w:ascii="Times New Roman" w:hAnsi="Times New Roman" w:cs="Times New Roman"/>
          <w:b/>
          <w:iCs/>
          <w:sz w:val="28"/>
          <w:szCs w:val="28"/>
          <w:lang w:val="uk-UA"/>
        </w:rPr>
        <w:t>Організація системи моніторингу водних середовищ</w:t>
      </w:r>
    </w:p>
    <w:p w:rsidR="00F20C50" w:rsidRPr="00634CB9" w:rsidRDefault="00F20C50" w:rsidP="00634CB9">
      <w:pPr>
        <w:widowControl w:val="0"/>
        <w:autoSpaceDE w:val="0"/>
        <w:autoSpaceDN w:val="0"/>
        <w:adjustRightInd w:val="0"/>
        <w:spacing w:after="0" w:line="78" w:lineRule="exact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C01C88" w:rsidRDefault="00C01C88" w:rsidP="00634CB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20C50" w:rsidRPr="00634CB9" w:rsidRDefault="00F20C50" w:rsidP="00634CB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34C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Моніторинг поверхневих вод </w:t>
      </w:r>
      <w:r w:rsidRPr="00634C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34C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  <w:lang w:val="uk-UA"/>
        </w:rPr>
        <w:t>це система послідовних періодичних</w:t>
      </w:r>
      <w:r w:rsidRPr="00634C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  <w:lang w:val="uk-UA"/>
        </w:rPr>
        <w:t>спостережень, збору та обробки інформації про стан водних об'єктів, прогнозування можливих змін якості води та розробка науково обґрунтованих рекомендацій для прийняття управлінських рішень щодо покращення стану відкритих водних об’єктів.</w:t>
      </w:r>
    </w:p>
    <w:p w:rsidR="00F20C50" w:rsidRPr="00634CB9" w:rsidRDefault="00F20C50" w:rsidP="00634CB9">
      <w:pPr>
        <w:widowControl w:val="0"/>
        <w:autoSpaceDE w:val="0"/>
        <w:autoSpaceDN w:val="0"/>
        <w:adjustRightInd w:val="0"/>
        <w:spacing w:after="0" w:line="3" w:lineRule="exact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F20C50" w:rsidRPr="00634CB9" w:rsidRDefault="00F20C50" w:rsidP="00634CB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Основними завданнями моніторингу поверхневих вод є спостереження, оцінювання та прогнозування змін якості води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відкритих водних об’єктах. Система моніторингу поверхневих вод є інформаційно-аналітичною і не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в собі елементів управління. При цьому, вона є необхідною складовою частиною державної системи управління навколишнім середовищем і регулювання його якості.</w:t>
      </w:r>
    </w:p>
    <w:p w:rsidR="00F20C50" w:rsidRPr="00634CB9" w:rsidRDefault="00F20C50" w:rsidP="00634CB9">
      <w:pPr>
        <w:widowControl w:val="0"/>
        <w:autoSpaceDE w:val="0"/>
        <w:autoSpaceDN w:val="0"/>
        <w:adjustRightInd w:val="0"/>
        <w:spacing w:after="0" w:line="4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F77D95" w:rsidRDefault="00F77D95" w:rsidP="00F77D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34CB9" w:rsidRPr="00634CB9" w:rsidRDefault="00634CB9" w:rsidP="00F77D9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До об'єктів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моніторингу природних вод України відносять:</w:t>
      </w:r>
    </w:p>
    <w:p w:rsidR="00634CB9" w:rsidRPr="00575E86" w:rsidRDefault="00634CB9" w:rsidP="00BB545B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E86">
        <w:rPr>
          <w:rFonts w:ascii="Times New Roman" w:hAnsi="Times New Roman" w:cs="Times New Roman"/>
          <w:sz w:val="28"/>
          <w:szCs w:val="28"/>
        </w:rPr>
        <w:t>поверхневі води, до яких належать природні водойми і водотоки (</w:t>
      </w:r>
      <w:proofErr w:type="gramStart"/>
      <w:r w:rsidRPr="00575E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5E86">
        <w:rPr>
          <w:rFonts w:ascii="Times New Roman" w:hAnsi="Times New Roman" w:cs="Times New Roman"/>
          <w:sz w:val="28"/>
          <w:szCs w:val="28"/>
        </w:rPr>
        <w:t xml:space="preserve">ічки, струмочки), штучні водойми (водосховища, ставки) і канали; </w:t>
      </w:r>
    </w:p>
    <w:p w:rsidR="00634CB9" w:rsidRPr="00575E86" w:rsidRDefault="00634CB9" w:rsidP="00BB545B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E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5E86">
        <w:rPr>
          <w:rFonts w:ascii="Times New Roman" w:hAnsi="Times New Roman" w:cs="Times New Roman"/>
          <w:sz w:val="28"/>
          <w:szCs w:val="28"/>
        </w:rPr>
        <w:t xml:space="preserve">ідземні води і джерела; </w:t>
      </w:r>
    </w:p>
    <w:p w:rsidR="00634CB9" w:rsidRPr="00575E86" w:rsidRDefault="00634CB9" w:rsidP="00BB545B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E86">
        <w:rPr>
          <w:rFonts w:ascii="Times New Roman" w:hAnsi="Times New Roman" w:cs="Times New Roman"/>
          <w:sz w:val="28"/>
          <w:szCs w:val="28"/>
        </w:rPr>
        <w:t xml:space="preserve">внутрішні морські води і територіальне море, морську економічну зону; </w:t>
      </w:r>
    </w:p>
    <w:p w:rsidR="00634CB9" w:rsidRPr="00634CB9" w:rsidRDefault="00634CB9" w:rsidP="00BB545B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575E86" w:rsidRDefault="00634CB9" w:rsidP="00BB545B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E86">
        <w:rPr>
          <w:rFonts w:ascii="Times New Roman" w:hAnsi="Times New Roman" w:cs="Times New Roman"/>
          <w:sz w:val="28"/>
          <w:szCs w:val="28"/>
        </w:rPr>
        <w:t xml:space="preserve">джерела забруднення вод, включаючи зворотні води, аварійні скиди рідких продуктів і </w:t>
      </w:r>
      <w:proofErr w:type="gramStart"/>
      <w:r w:rsidRPr="00575E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5E86">
        <w:rPr>
          <w:rFonts w:ascii="Times New Roman" w:hAnsi="Times New Roman" w:cs="Times New Roman"/>
          <w:sz w:val="28"/>
          <w:szCs w:val="28"/>
        </w:rPr>
        <w:t xml:space="preserve">ідходів, втрати продуктів і матеріалів при видобутку корисних копалин в межах акваторій поверхневих і морських вод; </w:t>
      </w:r>
    </w:p>
    <w:p w:rsidR="00634CB9" w:rsidRPr="00575E86" w:rsidRDefault="00634CB9" w:rsidP="00BB545B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E86">
        <w:rPr>
          <w:rFonts w:ascii="Times New Roman" w:hAnsi="Times New Roman" w:cs="Times New Roman"/>
          <w:sz w:val="28"/>
          <w:szCs w:val="28"/>
        </w:rPr>
        <w:t xml:space="preserve">води поверхневого стоку з сільськогосподарських угідь; </w:t>
      </w:r>
    </w:p>
    <w:p w:rsidR="00634CB9" w:rsidRPr="00575E86" w:rsidRDefault="00634CB9" w:rsidP="00BB545B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E86">
        <w:rPr>
          <w:rFonts w:ascii="Times New Roman" w:hAnsi="Times New Roman" w:cs="Times New Roman"/>
          <w:sz w:val="28"/>
          <w:szCs w:val="28"/>
        </w:rPr>
        <w:t xml:space="preserve">фільтрацію забруднювальних речовин з технологічних водойм і сховищ; </w:t>
      </w:r>
    </w:p>
    <w:p w:rsidR="00634CB9" w:rsidRPr="00634CB9" w:rsidRDefault="00634CB9" w:rsidP="00BB545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575E86" w:rsidRDefault="00634CB9" w:rsidP="00BB545B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E86">
        <w:rPr>
          <w:rFonts w:ascii="Times New Roman" w:hAnsi="Times New Roman" w:cs="Times New Roman"/>
          <w:sz w:val="28"/>
          <w:szCs w:val="28"/>
        </w:rPr>
        <w:t xml:space="preserve">масовий розвиток синьо-зелених водоростей; </w:t>
      </w:r>
    </w:p>
    <w:p w:rsidR="00634CB9" w:rsidRPr="00575E86" w:rsidRDefault="00634CB9" w:rsidP="00BB545B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E86">
        <w:rPr>
          <w:rFonts w:ascii="Times New Roman" w:hAnsi="Times New Roman" w:cs="Times New Roman"/>
          <w:sz w:val="28"/>
          <w:szCs w:val="28"/>
        </w:rPr>
        <w:t>надходження забруднювальних речовин з донних відклад</w:t>
      </w:r>
      <w:r w:rsidR="00B53E69" w:rsidRPr="00575E86">
        <w:rPr>
          <w:rFonts w:ascii="Times New Roman" w:hAnsi="Times New Roman" w:cs="Times New Roman"/>
          <w:sz w:val="28"/>
          <w:szCs w:val="28"/>
        </w:rPr>
        <w:t>ень (повторне забруднення) т</w:t>
      </w:r>
      <w:proofErr w:type="gramStart"/>
      <w:r w:rsidR="00B53E69" w:rsidRPr="00575E8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B53E69" w:rsidRPr="00575E8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575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CB9" w:rsidRPr="00F77D95" w:rsidRDefault="00634CB9" w:rsidP="00F77D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D95">
        <w:rPr>
          <w:rFonts w:ascii="Times New Roman" w:hAnsi="Times New Roman" w:cs="Times New Roman"/>
          <w:sz w:val="28"/>
          <w:szCs w:val="28"/>
          <w:lang w:val="uk-UA"/>
        </w:rPr>
        <w:t>Моніторинг стану вод суші та вмісту забруднювальних речовин у водних об’єктах здійснюють 6 суб’єктів моніторингу: МНС (Державна гідрометеорологічна служба), Мінприроди (Державна екологічна інспекція, Державна геологічна служба), МОЗ (санітарно-епідеміологічна служба), Мінагрополітики, Мінжитлокомунгосп, Держводгосп України та їх органи на місцях.</w:t>
      </w:r>
    </w:p>
    <w:p w:rsidR="00634CB9" w:rsidRPr="00F77D95" w:rsidRDefault="00634CB9" w:rsidP="00634CB9">
      <w:pPr>
        <w:widowControl w:val="0"/>
        <w:autoSpaceDE w:val="0"/>
        <w:autoSpaceDN w:val="0"/>
        <w:adjustRightInd w:val="0"/>
        <w:spacing w:after="0" w:line="2" w:lineRule="exact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Державна екологічна інспекція має розгалужену мережу спостережень за станом поверхневих вод та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скидами зворотних вод до природних водних об’єктів, яка складається з 1312 постів спостережень на всіх значущих водних об’єктах. Періодичність проведення спостережень та відбі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проб на постах обумовлюється програмою спостереж</w:t>
      </w:r>
      <w:r w:rsidR="00F77D95">
        <w:rPr>
          <w:rFonts w:ascii="Times New Roman" w:hAnsi="Times New Roman" w:cs="Times New Roman"/>
          <w:sz w:val="28"/>
          <w:szCs w:val="28"/>
        </w:rPr>
        <w:t>ень і здійснюється, в основному</w:t>
      </w:r>
      <w:r w:rsidRPr="00634CB9">
        <w:rPr>
          <w:rFonts w:ascii="Times New Roman" w:hAnsi="Times New Roman" w:cs="Times New Roman"/>
          <w:sz w:val="28"/>
          <w:szCs w:val="28"/>
        </w:rPr>
        <w:t>, 4–6 разів на рік. Кількість показників, що спостерігаються, становить від 25 до 60.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2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Моніторинг якості води за фізичними та хімічними показниками здійснюється на 507 створах, 72 водосховищах, 164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ічках, 14 зрошувальних </w:t>
      </w:r>
      <w:r w:rsidRPr="00634CB9">
        <w:rPr>
          <w:rFonts w:ascii="Times New Roman" w:hAnsi="Times New Roman" w:cs="Times New Roman"/>
          <w:sz w:val="28"/>
          <w:szCs w:val="28"/>
        </w:rPr>
        <w:lastRenderedPageBreak/>
        <w:t>системах, 1 лимані та 5 каналах комплексного призначення згідно з відомчим регламентом в основному з періодичністю 4–8 разів на рік.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3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В останні роки в рамках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іжнародних угод приділяється велика увага організації та веденню транскордонного моніторингу поверхневих вод. Для басейнів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ічок, особливо транскордонних, розробляються та впроваджуються </w:t>
      </w:r>
      <w:r w:rsidRPr="00634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 управління річковими басейнами</w:t>
      </w:r>
      <w:r w:rsidRPr="00634CB9">
        <w:rPr>
          <w:rFonts w:ascii="Times New Roman" w:hAnsi="Times New Roman" w:cs="Times New Roman"/>
          <w:sz w:val="28"/>
          <w:szCs w:val="28"/>
        </w:rPr>
        <w:t xml:space="preserve"> (ПУРБ)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 xml:space="preserve">урахуванням принципів 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>інтегрованого управління водними ресурсами</w:t>
      </w:r>
      <w:r w:rsidRPr="00634CB9">
        <w:rPr>
          <w:rFonts w:ascii="Times New Roman" w:hAnsi="Times New Roman" w:cs="Times New Roman"/>
          <w:sz w:val="28"/>
          <w:szCs w:val="28"/>
        </w:rPr>
        <w:t xml:space="preserve"> та рекомендацій Єврокомісії, головним чином, </w:t>
      </w:r>
      <w:r w:rsidRPr="00634CB9">
        <w:rPr>
          <w:rFonts w:ascii="Times New Roman" w:hAnsi="Times New Roman" w:cs="Times New Roman"/>
          <w:b/>
          <w:bCs/>
          <w:sz w:val="28"/>
          <w:szCs w:val="28"/>
        </w:rPr>
        <w:t>Водної рамкової директиви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CB9">
        <w:rPr>
          <w:rFonts w:ascii="Times New Roman" w:hAnsi="Times New Roman" w:cs="Times New Roman"/>
          <w:b/>
          <w:bCs/>
          <w:sz w:val="28"/>
          <w:szCs w:val="28"/>
        </w:rPr>
        <w:t>2000/06/ЕС (ВРД).</w:t>
      </w: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У ВРД програмам організації моніторингу вод присвячено </w:t>
      </w:r>
      <w:r w:rsidRPr="00F77D95">
        <w:rPr>
          <w:rFonts w:ascii="Times New Roman" w:hAnsi="Times New Roman" w:cs="Times New Roman"/>
          <w:b/>
          <w:sz w:val="28"/>
          <w:szCs w:val="28"/>
        </w:rPr>
        <w:t>статтю 8</w:t>
      </w:r>
      <w:r w:rsidRPr="00634CB9">
        <w:rPr>
          <w:rFonts w:ascii="Times New Roman" w:hAnsi="Times New Roman" w:cs="Times New Roman"/>
          <w:sz w:val="28"/>
          <w:szCs w:val="28"/>
        </w:rPr>
        <w:t xml:space="preserve"> «Моніторинг стану поверхневих вод, стану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ідземних вод та охоронних зон». Для поверхневих вод програми повинні охоплювати: об’єм і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івень або витрату потоку та екологічний і хімічний стан, а також екологічний потенціал водних об’єктів. Для підземних вод такі програми повинні охоплювати моніторинг хімічного та кількі</w:t>
      </w:r>
      <w:r w:rsidR="00F77D95">
        <w:rPr>
          <w:rFonts w:ascii="Times New Roman" w:hAnsi="Times New Roman" w:cs="Times New Roman"/>
          <w:sz w:val="28"/>
          <w:szCs w:val="28"/>
        </w:rPr>
        <w:t>сного стану</w:t>
      </w:r>
      <w:r w:rsidRPr="00634CB9">
        <w:rPr>
          <w:rFonts w:ascii="Times New Roman" w:hAnsi="Times New Roman" w:cs="Times New Roman"/>
          <w:sz w:val="28"/>
          <w:szCs w:val="28"/>
        </w:rPr>
        <w:t>. У Додатку V ВРД вказано</w:t>
      </w:r>
      <w:r w:rsidR="00F77D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4CB9">
        <w:rPr>
          <w:rFonts w:ascii="Times New Roman" w:hAnsi="Times New Roman" w:cs="Times New Roman"/>
          <w:sz w:val="28"/>
          <w:szCs w:val="28"/>
        </w:rPr>
        <w:t xml:space="preserve"> які саме показники або групи показників якості води </w:t>
      </w:r>
      <w:r w:rsidR="00F77D9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Pr="00634CB9">
        <w:rPr>
          <w:rFonts w:ascii="Times New Roman" w:hAnsi="Times New Roman" w:cs="Times New Roman"/>
          <w:sz w:val="28"/>
          <w:szCs w:val="28"/>
        </w:rPr>
        <w:t xml:space="preserve">вимірювати для кожного виду водних об’єктів (окремо для поверхневих та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ідземних вод), </w:t>
      </w:r>
      <w:r w:rsidR="00F77D95">
        <w:rPr>
          <w:rFonts w:ascii="Times New Roman" w:hAnsi="Times New Roman" w:cs="Times New Roman"/>
          <w:sz w:val="28"/>
          <w:szCs w:val="28"/>
          <w:lang w:val="uk-UA"/>
        </w:rPr>
        <w:t>новодиться</w:t>
      </w:r>
      <w:r w:rsidRPr="00634CB9">
        <w:rPr>
          <w:rFonts w:ascii="Times New Roman" w:hAnsi="Times New Roman" w:cs="Times New Roman"/>
          <w:sz w:val="28"/>
          <w:szCs w:val="28"/>
        </w:rPr>
        <w:t xml:space="preserve"> характеристика критеріїв визначення екологічного стану вод за фізико-хімічними, гідробіологічними та гідроморфологічними показниками, особлива увага приділена саме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ідробіологічним показникам якості води. ВРД містить комплекс директив щодо вибору частоти спостережень, щодо методик виконання вимірювань показників (фізико-хімічних та гідробіологічних), щодо забезпечення можливості коректного порівняння результатів спостережень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ізних країн, щодо подання результатів моніторингу та їх інтерпретації: визначення екологічного і хімічного стану та екологічного потенціалу водних об’єктів. Індикативний перелік основних речовин-забрудників окремо поданий у Додатку VIII, а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іоритетних речовин – у Додатку X ВРД.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6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ВРД вимагає для кожного басейну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ічки створити 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>програму</w:t>
      </w:r>
      <w:r w:rsidRPr="00634CB9">
        <w:rPr>
          <w:rFonts w:ascii="Times New Roman" w:hAnsi="Times New Roman" w:cs="Times New Roman"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контрольного моніторингу </w:t>
      </w:r>
      <w:r w:rsidRPr="00634CB9">
        <w:rPr>
          <w:rFonts w:ascii="Times New Roman" w:hAnsi="Times New Roman" w:cs="Times New Roman"/>
          <w:sz w:val="28"/>
          <w:szCs w:val="28"/>
        </w:rPr>
        <w:t>(переважно для оцінювання довгострокових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 xml:space="preserve">змін у водних об’єктах у непорушених умовах та змін, які виникають через широко розповсюджену антропогенну діяльність) і 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>програму робочого</w:t>
      </w:r>
      <w:r w:rsidRPr="00634CB9">
        <w:rPr>
          <w:rFonts w:ascii="Times New Roman" w:hAnsi="Times New Roman" w:cs="Times New Roman"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моніторингу </w:t>
      </w:r>
      <w:r w:rsidRPr="00634CB9">
        <w:rPr>
          <w:rFonts w:ascii="Times New Roman" w:hAnsi="Times New Roman" w:cs="Times New Roman"/>
          <w:sz w:val="28"/>
          <w:szCs w:val="28"/>
        </w:rPr>
        <w:t>(переважно для об’єктів,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>що зазнають антропогенного тиску, але для яких є ризик щодо виконання для них екологі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чних цілей, які ставляться у ВРД).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У деяких випадках створюються 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>програми</w:t>
      </w:r>
      <w:r w:rsidRPr="00634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CB9">
        <w:rPr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End"/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ідницького моніторингу </w:t>
      </w:r>
      <w:r w:rsidRPr="00634CB9">
        <w:rPr>
          <w:rFonts w:ascii="Times New Roman" w:hAnsi="Times New Roman" w:cs="Times New Roman"/>
          <w:sz w:val="28"/>
          <w:szCs w:val="28"/>
        </w:rPr>
        <w:t>(для об’єктів,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>де причина будь-яких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>перевищень невідома; для з’ ясування розмірів та впливу аварійного забруднення; для об’єктів, для яких контрольний моніторинг показує, що екологічні цілі навряд чи будуть досягнуті, з метою виявлення причин такої ситуації).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4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Важливою особливістю ВРД є використання референційних умов водних об’єктів. Усі поверхневі водні об’єкти розбиваються на типи за рядом критеріїв. Для кожного типу встановлюютьс</w:t>
      </w:r>
      <w:r w:rsidR="00F77D95">
        <w:rPr>
          <w:rFonts w:ascii="Times New Roman" w:hAnsi="Times New Roman" w:cs="Times New Roman"/>
          <w:sz w:val="28"/>
          <w:szCs w:val="28"/>
        </w:rPr>
        <w:t>я типоспецифічні референційні (</w:t>
      </w:r>
      <w:r w:rsidRPr="00634CB9">
        <w:rPr>
          <w:rFonts w:ascii="Times New Roman" w:hAnsi="Times New Roman" w:cs="Times New Roman"/>
          <w:sz w:val="28"/>
          <w:szCs w:val="28"/>
        </w:rPr>
        <w:t xml:space="preserve">початкові) гідроморфологічні, гідробіологічні та фізико-хімічні умови, які репрезентують </w:t>
      </w:r>
      <w:r w:rsidR="00F77D95">
        <w:rPr>
          <w:rFonts w:ascii="Times New Roman" w:hAnsi="Times New Roman" w:cs="Times New Roman"/>
          <w:sz w:val="28"/>
          <w:szCs w:val="28"/>
        </w:rPr>
        <w:t>величини відповідних гідроморфо</w:t>
      </w:r>
      <w:r w:rsidRPr="00634CB9">
        <w:rPr>
          <w:rFonts w:ascii="Times New Roman" w:hAnsi="Times New Roman" w:cs="Times New Roman"/>
          <w:sz w:val="28"/>
          <w:szCs w:val="28"/>
        </w:rPr>
        <w:t>логічних, гідробіологічних та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фізико-хімічних </w:t>
      </w:r>
      <w:r w:rsidRPr="00634CB9">
        <w:rPr>
          <w:rFonts w:ascii="Times New Roman" w:hAnsi="Times New Roman" w:cs="Times New Roman"/>
          <w:sz w:val="28"/>
          <w:szCs w:val="28"/>
        </w:rPr>
        <w:lastRenderedPageBreak/>
        <w:t xml:space="preserve">елементів якості для такого типу водного об’єкта за умови відмінного екологічного стану. Саме з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референційними умовами і проводиться порівняння параметрів кожного реального водного об’єкта з метою визначення коефіцієн</w:t>
      </w:r>
      <w:r w:rsidR="00F77D95">
        <w:rPr>
          <w:rFonts w:ascii="Times New Roman" w:hAnsi="Times New Roman" w:cs="Times New Roman"/>
          <w:sz w:val="28"/>
          <w:szCs w:val="28"/>
        </w:rPr>
        <w:t>та його екологічної якості т</w:t>
      </w:r>
      <w:r w:rsidR="00F77D95">
        <w:rPr>
          <w:rFonts w:ascii="Times New Roman" w:hAnsi="Times New Roman" w:cs="Times New Roman"/>
          <w:sz w:val="28"/>
          <w:szCs w:val="28"/>
          <w:lang w:val="uk-UA"/>
        </w:rPr>
        <w:t>ощо</w:t>
      </w:r>
      <w:r w:rsidRPr="00634CB9">
        <w:rPr>
          <w:rFonts w:ascii="Times New Roman" w:hAnsi="Times New Roman" w:cs="Times New Roman"/>
          <w:sz w:val="28"/>
          <w:szCs w:val="28"/>
        </w:rPr>
        <w:t>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5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Коефіцієнт екологічної якості </w:t>
      </w:r>
      <w:r w:rsidRPr="00634CB9">
        <w:rPr>
          <w:rFonts w:ascii="Times New Roman" w:hAnsi="Times New Roman" w:cs="Times New Roman"/>
          <w:sz w:val="28"/>
          <w:szCs w:val="28"/>
        </w:rPr>
        <w:t>виражає спі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ідношення між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>виміряними значеннями біологічних параметрів та референційними значеннями обраного поверхневого водного об’єкта. Коефіцієнт виражається числовою величиною від нуля до одиниці: відмінний екологічний стан відповідає значенням, близьким до одиниці, а поганий екологічний стан — значенням, близьким до нуля (ВРД, Додаток V, 1.4).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2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Вимоги до створення плану управління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ічковим басейном встановлюються статтею 13 ВРД, а структура типового плану визначається Додатком VII ВРД, де одними з основних елементів є карта мереж моніторингу та подані у формі карти результати моніторингових програм для поверхневих (екологічні та хімічні показники) і підземних вод (хімічні та кількісні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показники).</w:t>
      </w:r>
      <w:proofErr w:type="gramEnd"/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4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Подібні плани управління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ічковим басейном створюються для всіх великих річок України в межах, переважно, міжнародних проектів та програм.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55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B9">
        <w:rPr>
          <w:rFonts w:ascii="Times New Roman" w:hAnsi="Times New Roman" w:cs="Times New Roman"/>
          <w:b/>
          <w:iCs/>
          <w:sz w:val="28"/>
          <w:szCs w:val="28"/>
        </w:rPr>
        <w:t>Пункти спостережень і контрольні створи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78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ід 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>пунктом спостереження</w:t>
      </w:r>
      <w:r w:rsidRPr="00634CB9">
        <w:rPr>
          <w:rFonts w:ascii="Times New Roman" w:hAnsi="Times New Roman" w:cs="Times New Roman"/>
          <w:sz w:val="28"/>
          <w:szCs w:val="28"/>
        </w:rPr>
        <w:t xml:space="preserve"> за станом поверхневих вод розуміють місце на водоймі або водотоці, де систематично проводиться комплекс робіт для одержання необхідних даних про якість води.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2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>Важливим етапом в організації спостережень за забрудненнями є вибі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місця розташування пункту спостережень – застосовуються дві схеми розміщення пунктів гідрохімічних спостережень: об’єктна і територіальна.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3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Об’єктна схема </w:t>
      </w:r>
      <w:r w:rsidRPr="00634CB9">
        <w:rPr>
          <w:rFonts w:ascii="Times New Roman" w:hAnsi="Times New Roman" w:cs="Times New Roman"/>
          <w:sz w:val="28"/>
          <w:szCs w:val="28"/>
        </w:rPr>
        <w:t>застосовується для вивчення гідрохімічного режиму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>великих і середніх водних об’єктів і включає пункти, розташовані: на</w:t>
      </w:r>
      <w:r w:rsidRPr="00634CB9">
        <w:rPr>
          <w:rFonts w:ascii="Arial" w:hAnsi="Arial" w:cs="Arial"/>
          <w:sz w:val="20"/>
          <w:szCs w:val="20"/>
        </w:rPr>
        <w:t xml:space="preserve"> </w:t>
      </w:r>
      <w:r w:rsidRPr="00050F8F">
        <w:rPr>
          <w:rFonts w:ascii="Times New Roman" w:hAnsi="Times New Roman" w:cs="Times New Roman"/>
          <w:sz w:val="28"/>
          <w:szCs w:val="28"/>
        </w:rPr>
        <w:t>великих і середніх</w:t>
      </w:r>
      <w:r w:rsidRPr="000C346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ічках і каналах, що мають велике господарське значення; у замикальних створах великих річок, що впадають у моря; на великих озерах і водоймах.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Територіальна схема </w:t>
      </w:r>
      <w:r w:rsidRPr="00634CB9">
        <w:rPr>
          <w:rFonts w:ascii="Times New Roman" w:hAnsi="Times New Roman" w:cs="Times New Roman"/>
          <w:sz w:val="28"/>
          <w:szCs w:val="28"/>
        </w:rPr>
        <w:t>застосовується для фонових спостережень,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 xml:space="preserve">вивчення і регіонального узагальнення характеристик гідрохімічного режиму малих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ічок. Пункти спостережень за цією схемою намічаються у створах, що замикають порівняно малі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ічкові водозабори, що добре відбивають місцеві умови природних районів досліджуваної території.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>Необхідною умовою є синхронність усіх видів спостережень, їх систематичність та узгодженість термінів спостережень.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Одна з головних вимог, які висуваються до розташування пункту спостережень, – репрезентативність відносно масштабів і видів забруднення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ічними водами окремих галузей господарства. Систематичні спостереження за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івнем забруднень поверхневих вод проводяться на постійних та тимчасових пунктах спостережень, які розміщуються в місцях наявності або відсутності впливу господарської діяльності. При цьому обов’язково організовується: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60" w:hanging="274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стаціонарна мережа пунктів спостережень за природним складом і </w:t>
      </w:r>
      <w:r w:rsidRPr="00634CB9">
        <w:rPr>
          <w:rFonts w:ascii="Times New Roman" w:hAnsi="Times New Roman" w:cs="Times New Roman"/>
          <w:sz w:val="28"/>
          <w:szCs w:val="28"/>
        </w:rPr>
        <w:lastRenderedPageBreak/>
        <w:t xml:space="preserve">забрудненням поверхневих вод; </w:t>
      </w: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60" w:hanging="275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>– спеціалізована мережа пунктів спостережень забруднених водних об'єкті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для вирішення науково-дослідних задач; 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60" w:hanging="274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тимчасова експедиційна мережа пунктів спостережень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об’єктах, не охоплених першими двома видами спостережень. 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50F8F" w:rsidRDefault="00050F8F" w:rsidP="00634CB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CB9" w:rsidRDefault="00634CB9" w:rsidP="00050F8F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050F8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050F8F">
        <w:rPr>
          <w:rFonts w:ascii="Times New Roman" w:hAnsi="Times New Roman" w:cs="Times New Roman"/>
          <w:b/>
          <w:sz w:val="28"/>
          <w:szCs w:val="28"/>
        </w:rPr>
        <w:t xml:space="preserve"> організації мережі спостережень обов’язковими є такі вимоги:</w:t>
      </w:r>
    </w:p>
    <w:p w:rsidR="00050F8F" w:rsidRPr="00050F8F" w:rsidRDefault="00050F8F" w:rsidP="00050F8F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60" w:hanging="275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перевага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повинна надаватись вивченню антропогенних впливів на поверхневі води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60" w:hanging="275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систематичність і комплексність спостережень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якістю води за фізичними, хімічними та біологічними показниками з паралельним проведенням відповідних гідрологічних вимірювань; </w:t>
      </w: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60" w:hanging="274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узгодження термінів спостережень з характерними гідрологічними ситуаціями; 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60" w:hanging="274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>– визначення показників якості води єдиними методами на всій мережі для забезпечення можливості порівняння результаті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60" w:hanging="275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>– оперативність одержання інформації про якість води і стан водних об’єкті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CB9" w:rsidRPr="00634CB9" w:rsidRDefault="00634CB9" w:rsidP="00634CB9">
      <w:pPr>
        <w:widowControl w:val="0"/>
        <w:numPr>
          <w:ilvl w:val="1"/>
          <w:numId w:val="1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234" w:lineRule="auto"/>
        <w:ind w:left="0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>основу рекомендацій щодо визначення місць розташування гідрологічних пунктів спостережень покладено принцип своєчасності і достовірності отримання основних характеристик (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івня води і річкового стоку). Кількість і щільність пунктів спостережень визначаються запитами економічних служб і служби прогнозі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, а також природно-кліматичними факторами. 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>Найбільша кількість постів Держгідрометслужби має тривалість спостережень від 51 до 100 років (рис.), трохи менше постів мають тривалість спостережень від 31</w:t>
      </w:r>
      <w:r w:rsidR="00065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>до 50</w:t>
      </w:r>
      <w:r w:rsidR="00065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C88">
        <w:rPr>
          <w:rFonts w:ascii="Times New Roman" w:hAnsi="Times New Roman" w:cs="Times New Roman"/>
          <w:sz w:val="28"/>
          <w:szCs w:val="28"/>
        </w:rPr>
        <w:t>років</w:t>
      </w:r>
      <w:r w:rsidRPr="00634CB9">
        <w:rPr>
          <w:rFonts w:ascii="Times New Roman" w:hAnsi="Times New Roman" w:cs="Times New Roman"/>
          <w:sz w:val="28"/>
          <w:szCs w:val="28"/>
        </w:rPr>
        <w:t xml:space="preserve">. Отже, ряди спостережень мають достатню тривалість і можуть використовуватись для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ізного роду статистичних розрахунків гідрологічних характеристик та гідрохімічних показників якості води.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C01C88" w:rsidRDefault="00C01C88" w:rsidP="00C01C88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34CB9" w:rsidRPr="00634CB9">
        <w:rPr>
          <w:rFonts w:ascii="Times New Roman" w:hAnsi="Times New Roman" w:cs="Times New Roman"/>
          <w:sz w:val="28"/>
          <w:szCs w:val="28"/>
        </w:rPr>
        <w:t>ідрологічна мережа України нараховувала 374 пости, з яких на 339 вимірювали витрати води, а на 119</w:t>
      </w:r>
      <w:r w:rsidR="00065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CB9" w:rsidRPr="00634CB9">
        <w:rPr>
          <w:rFonts w:ascii="Times New Roman" w:hAnsi="Times New Roman" w:cs="Times New Roman"/>
          <w:sz w:val="28"/>
          <w:szCs w:val="28"/>
        </w:rPr>
        <w:t>здійснювалось вивчення твердого стоку. Озерна мережа нараховує 60 пості</w:t>
      </w:r>
      <w:proofErr w:type="gramStart"/>
      <w:r w:rsidR="00634CB9" w:rsidRPr="00634C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4CB9" w:rsidRPr="00634CB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640"/>
        <w:gridCol w:w="1640"/>
        <w:gridCol w:w="200"/>
        <w:gridCol w:w="20"/>
      </w:tblGrid>
      <w:tr w:rsidR="00634CB9" w:rsidRPr="000C3460" w:rsidTr="00292B32">
        <w:trPr>
          <w:trHeight w:val="180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C01C88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0" allowOverlap="1" wp14:anchorId="304F3269" wp14:editId="694DBBA3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97155</wp:posOffset>
                  </wp:positionV>
                  <wp:extent cx="3293110" cy="168529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110" cy="168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1C88" w:rsidRPr="00C01C88" w:rsidRDefault="00C01C88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0C3460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0C3460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CB9" w:rsidTr="00292B32">
        <w:trPr>
          <w:trHeight w:val="36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CB9" w:rsidTr="00292B32">
        <w:trPr>
          <w:trHeight w:val="6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CB9" w:rsidTr="00292B32">
        <w:trPr>
          <w:trHeight w:val="21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CB9" w:rsidTr="00292B32">
        <w:trPr>
          <w:trHeight w:val="14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CB9" w:rsidTr="00292B32">
        <w:trPr>
          <w:trHeight w:val="25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CB9" w:rsidTr="00292B32">
        <w:trPr>
          <w:trHeight w:val="2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CB9" w:rsidTr="00292B32">
        <w:trPr>
          <w:trHeight w:val="25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CB9" w:rsidTr="00292B32">
        <w:trPr>
          <w:trHeight w:val="2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34CB9" w:rsidRDefault="00634CB9" w:rsidP="00634C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4CB9" w:rsidRDefault="00634CB9" w:rsidP="00634CB9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320"/>
        <w:gridCol w:w="780"/>
        <w:gridCol w:w="1420"/>
        <w:gridCol w:w="420"/>
        <w:gridCol w:w="1360"/>
      </w:tblGrid>
      <w:tr w:rsidR="00634CB9" w:rsidRPr="00634CB9" w:rsidTr="00292B32">
        <w:trPr>
          <w:trHeight w:val="2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9">
              <w:rPr>
                <w:rFonts w:ascii="Times New Roman" w:hAnsi="Times New Roman" w:cs="Times New Roman"/>
                <w:w w:val="74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9">
              <w:rPr>
                <w:rFonts w:ascii="Times New Roman" w:hAnsi="Times New Roman" w:cs="Times New Roman"/>
                <w:sz w:val="17"/>
                <w:szCs w:val="17"/>
              </w:rPr>
              <w:t>1 –років10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9">
              <w:rPr>
                <w:rFonts w:ascii="Times New Roman" w:hAnsi="Times New Roman" w:cs="Times New Roman"/>
                <w:sz w:val="17"/>
                <w:szCs w:val="17"/>
              </w:rPr>
              <w:t>31років–50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9">
              <w:rPr>
                <w:rFonts w:ascii="Times New Roman" w:hAnsi="Times New Roman" w:cs="Times New Roman"/>
                <w:w w:val="91"/>
                <w:sz w:val="17"/>
                <w:szCs w:val="17"/>
              </w:rPr>
              <w:t>більше100  рокі</w:t>
            </w:r>
            <w:proofErr w:type="gramStart"/>
            <w:r w:rsidRPr="00634CB9">
              <w:rPr>
                <w:rFonts w:ascii="Times New Roman" w:hAnsi="Times New Roman" w:cs="Times New Roman"/>
                <w:w w:val="91"/>
                <w:sz w:val="17"/>
                <w:szCs w:val="17"/>
              </w:rPr>
              <w:t>в</w:t>
            </w:r>
            <w:proofErr w:type="gramEnd"/>
          </w:p>
        </w:tc>
      </w:tr>
      <w:tr w:rsidR="00634CB9" w:rsidRPr="00634CB9" w:rsidTr="00292B32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9">
              <w:rPr>
                <w:rFonts w:ascii="Times New Roman" w:hAnsi="Times New Roman" w:cs="Times New Roman"/>
                <w:w w:val="74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9">
              <w:rPr>
                <w:rFonts w:ascii="Times New Roman" w:hAnsi="Times New Roman" w:cs="Times New Roman"/>
                <w:sz w:val="17"/>
                <w:szCs w:val="17"/>
              </w:rPr>
              <w:t>11 –років30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9">
              <w:rPr>
                <w:rFonts w:ascii="Times New Roman" w:hAnsi="Times New Roman" w:cs="Times New Roman"/>
                <w:w w:val="98"/>
                <w:sz w:val="17"/>
                <w:szCs w:val="17"/>
              </w:rPr>
              <w:t>Від 51 – 100років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B9" w:rsidRPr="00634CB9" w:rsidRDefault="00634CB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>Рисунок</w:t>
      </w:r>
      <w:r w:rsidR="00C01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>– Розподіл гідрологічних пості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за тривалістю спостережень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2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Головні завдання і функції мережі гідрометеорологічних спостережень щодо забезпечення органів державної влади і управління, галузей господарства, </w:t>
      </w:r>
      <w:r w:rsidRPr="00634CB9">
        <w:rPr>
          <w:rFonts w:ascii="Times New Roman" w:hAnsi="Times New Roman" w:cs="Times New Roman"/>
          <w:sz w:val="28"/>
          <w:szCs w:val="28"/>
        </w:rPr>
        <w:lastRenderedPageBreak/>
        <w:t xml:space="preserve">прогностичних організацій гідрометслужби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оперативною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і режимною інформацією в основному виконуються.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2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7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>Основним принципом організації спостережень є також їх комплексність, яка передбачає узгоджену програму робіт з гідрохімії гідрології, гідробіології та забезпечує спостереження якості води за фізичними, хімічними, гідробіологічними показниками.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C01C88" w:rsidRDefault="00634CB9" w:rsidP="00634CB9">
      <w:pPr>
        <w:widowControl w:val="0"/>
        <w:autoSpaceDE w:val="0"/>
        <w:autoSpaceDN w:val="0"/>
        <w:adjustRightInd w:val="0"/>
        <w:spacing w:after="0" w:line="240" w:lineRule="auto"/>
        <w:ind w:left="507"/>
        <w:rPr>
          <w:rFonts w:ascii="Times New Roman" w:hAnsi="Times New Roman" w:cs="Times New Roman"/>
          <w:b/>
          <w:sz w:val="28"/>
          <w:szCs w:val="28"/>
        </w:rPr>
      </w:pPr>
      <w:r w:rsidRPr="00C01C88">
        <w:rPr>
          <w:rFonts w:ascii="Times New Roman" w:hAnsi="Times New Roman" w:cs="Times New Roman"/>
          <w:b/>
          <w:sz w:val="28"/>
          <w:szCs w:val="28"/>
        </w:rPr>
        <w:t>Пункти спостережень обов’язково встановлюють на таких об'єктах: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47" w:hanging="253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місця скиду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ічних і дощових вод в містах, селищах та сільськогосподарських комплексах; </w:t>
      </w: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 місця скиду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ічних вод окремих підприємств (ТЕС, АЕС тощо); </w:t>
      </w: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47" w:hanging="252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ісця скиду колекторно-дренажних вод, які відводяться зі зрошувальних або осушувальних земель; </w:t>
      </w: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47" w:hanging="253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кінцеві створи великих та середніх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ічок, які впадають в моря або внутрішні водойми; </w:t>
      </w: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47" w:hanging="252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на границях економічних районів, республік, країн, що їх перетинають транзитні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ічки; </w:t>
      </w: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47" w:hanging="253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кінцеві гідрологічні створи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ічкових басейнів, за якими складають водогосподарські баланси; </w:t>
      </w:r>
    </w:p>
    <w:p w:rsidR="00634CB9" w:rsidRPr="00634CB9" w:rsidRDefault="00634CB9" w:rsidP="00634CB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 гирлові зони забруднених приток головної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ічки. </w:t>
      </w:r>
    </w:p>
    <w:p w:rsidR="00634CB9" w:rsidRPr="00C01C88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firstLine="5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C88">
        <w:rPr>
          <w:rFonts w:ascii="Times New Roman" w:hAnsi="Times New Roman" w:cs="Times New Roman"/>
          <w:b/>
          <w:sz w:val="28"/>
          <w:szCs w:val="28"/>
        </w:rPr>
        <w:t xml:space="preserve">Всі пункти стаціонарної мережі спостережень поділяються на </w:t>
      </w:r>
      <w:r w:rsidRPr="00C01C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чотири категорії </w:t>
      </w:r>
      <w:proofErr w:type="gramStart"/>
      <w:r w:rsidRPr="00C01C8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01C88">
        <w:rPr>
          <w:rFonts w:ascii="Times New Roman" w:hAnsi="Times New Roman" w:cs="Times New Roman"/>
          <w:b/>
          <w:sz w:val="28"/>
          <w:szCs w:val="28"/>
        </w:rPr>
        <w:t xml:space="preserve"> такими критеріями:</w:t>
      </w:r>
    </w:p>
    <w:p w:rsidR="00634CB9" w:rsidRPr="00634CB9" w:rsidRDefault="00634CB9" w:rsidP="00634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47" w:hanging="252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значення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водного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об’єкта як джерела питного і культурно-побутового, промислового, сільськогосподарського водопостачання; 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 ступінь рибогосподарського використання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водного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об’єкта; </w:t>
      </w: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івень забрудненості водного об’єкта; </w:t>
      </w: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>–  розмі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і об’єм водойми, розмір і водність водотоку, режим водойми та 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2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1C88" w:rsidRPr="00C01C88" w:rsidRDefault="00C01C88" w:rsidP="00C01C88">
      <w:pPr>
        <w:widowControl w:val="0"/>
        <w:numPr>
          <w:ilvl w:val="2"/>
          <w:numId w:val="2"/>
        </w:numPr>
        <w:tabs>
          <w:tab w:val="clear" w:pos="2160"/>
          <w:tab w:val="num" w:pos="507"/>
        </w:tabs>
        <w:overflowPunct w:val="0"/>
        <w:autoSpaceDE w:val="0"/>
        <w:autoSpaceDN w:val="0"/>
        <w:adjustRightInd w:val="0"/>
        <w:spacing w:after="0" w:line="234" w:lineRule="auto"/>
        <w:ind w:left="507" w:hanging="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CB9" w:rsidRPr="00634CB9">
        <w:rPr>
          <w:rFonts w:ascii="Times New Roman" w:hAnsi="Times New Roman" w:cs="Times New Roman"/>
          <w:sz w:val="28"/>
          <w:szCs w:val="28"/>
        </w:rPr>
        <w:t xml:space="preserve">фізико-географічні ознаки. </w:t>
      </w: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Пункти спостережень </w:t>
      </w:r>
      <w:r w:rsidRPr="00634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першої категорії</w:t>
      </w:r>
      <w:r w:rsidRPr="00634CB9">
        <w:rPr>
          <w:rFonts w:ascii="Times New Roman" w:hAnsi="Times New Roman" w:cs="Times New Roman"/>
          <w:sz w:val="28"/>
          <w:szCs w:val="28"/>
        </w:rPr>
        <w:t xml:space="preserve"> розміщуються на водотоках 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6" w:lineRule="exact"/>
        <w:ind w:firstLine="507"/>
        <w:jc w:val="both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numPr>
          <w:ilvl w:val="0"/>
          <w:numId w:val="2"/>
        </w:numPr>
        <w:tabs>
          <w:tab w:val="clear" w:pos="720"/>
          <w:tab w:val="num" w:pos="172"/>
        </w:tabs>
        <w:overflowPunct w:val="0"/>
        <w:autoSpaceDE w:val="0"/>
        <w:autoSpaceDN w:val="0"/>
        <w:adjustRightInd w:val="0"/>
        <w:spacing w:after="0" w:line="246" w:lineRule="auto"/>
        <w:ind w:left="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водоймах, що мають особливо важливе господарське значення, коли можливі випадки перевищення значень певних показників якості води. 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1" w:lineRule="exact"/>
        <w:ind w:firstLine="507"/>
        <w:jc w:val="both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Пункти спостережень </w:t>
      </w:r>
      <w:r w:rsidRPr="00634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другої категорії</w:t>
      </w:r>
      <w:r w:rsidRPr="00634CB9">
        <w:rPr>
          <w:rFonts w:ascii="Times New Roman" w:hAnsi="Times New Roman" w:cs="Times New Roman"/>
          <w:sz w:val="28"/>
          <w:szCs w:val="28"/>
        </w:rPr>
        <w:t xml:space="preserve"> розмішуються на водних об'єктах, які знаходяться в районах промислових мі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, селищ з централізованим водопостачанням, в місцях відпочинку населення, в місцях скиду колекторно-дренажних вод з сільськогосподарських полів, на граничних створах річок, на кінцевих створах річок. 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1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Пункти спостережень </w:t>
      </w:r>
      <w:r w:rsidRPr="00634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третьої категорії</w:t>
      </w:r>
      <w:r w:rsidRPr="00634CB9">
        <w:rPr>
          <w:rFonts w:ascii="Times New Roman" w:hAnsi="Times New Roman" w:cs="Times New Roman"/>
          <w:sz w:val="28"/>
          <w:szCs w:val="28"/>
        </w:rPr>
        <w:t xml:space="preserve"> розміщуються на водних об'єктах, що характеризуються помірним або слабким навантаженням (в районах невеликих населених пунктів та промислових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ідприємств). 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2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Пункти спостережень </w:t>
      </w:r>
      <w:r w:rsidRPr="00634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четвертої категорії</w:t>
      </w:r>
      <w:r w:rsidRPr="00634CB9">
        <w:rPr>
          <w:rFonts w:ascii="Times New Roman" w:hAnsi="Times New Roman" w:cs="Times New Roman"/>
          <w:sz w:val="28"/>
          <w:szCs w:val="28"/>
        </w:rPr>
        <w:t xml:space="preserve"> розміщуються на незабруднених водних об'єктах (фонових ділянках). 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1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Пункти спостереження включають в себе один або декілька створів.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ід </w:t>
      </w:r>
      <w:r w:rsidRPr="00634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створом</w:t>
      </w:r>
      <w:r w:rsidRPr="00634CB9">
        <w:rPr>
          <w:rFonts w:ascii="Times New Roman" w:hAnsi="Times New Roman" w:cs="Times New Roman"/>
          <w:sz w:val="28"/>
          <w:szCs w:val="28"/>
        </w:rPr>
        <w:t xml:space="preserve"> пункту спостереження розуміється умовний поперечний переріз водойми або водотоку, в якому проводиться комплекс робіт для одержання даних про якість води. Створи спостережень розміщуються з урахуванням </w:t>
      </w:r>
      <w:r w:rsidRPr="00634CB9">
        <w:rPr>
          <w:rFonts w:ascii="Times New Roman" w:hAnsi="Times New Roman" w:cs="Times New Roman"/>
          <w:sz w:val="28"/>
          <w:szCs w:val="28"/>
        </w:rPr>
        <w:lastRenderedPageBreak/>
        <w:t xml:space="preserve">гідрометричних умов та морфологічних особливостей водойми або водотоку, розміщення джерел забруднення, об'єму та складу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ічних вод. При спостереженні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істю води встановлюється не менше трьох створів: один створ вище джерела забруднення, два створи нижче джерела забруднення.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1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Перший (фоновий) створ </w:t>
      </w:r>
      <w:r w:rsidRPr="00634CB9">
        <w:rPr>
          <w:rFonts w:ascii="Times New Roman" w:hAnsi="Times New Roman" w:cs="Times New Roman"/>
          <w:sz w:val="28"/>
          <w:szCs w:val="28"/>
        </w:rPr>
        <w:t>рекомендується розміщувати на відстані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>1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>км вище джерела забруднення.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1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Другий створ </w:t>
      </w:r>
      <w:r w:rsidRPr="00634CB9">
        <w:rPr>
          <w:rFonts w:ascii="Times New Roman" w:hAnsi="Times New Roman" w:cs="Times New Roman"/>
          <w:sz w:val="28"/>
          <w:szCs w:val="28"/>
        </w:rPr>
        <w:t>призначений для контролю за зміною якості води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 xml:space="preserve">водотоку поблизу випуску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ічних вод, тобто в зоні забруднення.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Відповідно до санітарних нормативів бажано розміщувати його на відстані 1 км вище найближчого місця водозабору.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ічках, що використовуються для рибогосподарських потреб, цей створ повинен розміщуватися на відстані 0,5 км нижче за течією від місця скиду стічних вод, а на водоймах – 0,5 км в сторону найбільш вираженої течії. В містах та селищах контрольний створ розміщують на відстані 0,5-1,0 км нижче останнього колектора.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1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Третій створ </w:t>
      </w:r>
      <w:r w:rsidRPr="00634CB9">
        <w:rPr>
          <w:rFonts w:ascii="Times New Roman" w:hAnsi="Times New Roman" w:cs="Times New Roman"/>
          <w:sz w:val="28"/>
          <w:szCs w:val="28"/>
        </w:rPr>
        <w:t>розміщують таким чином,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>щоб дані спостережень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t xml:space="preserve">характеризували якість води усього водного потоку, тобто він повинен знаходитись у місці достатнього змішування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ічних вод з водами річки.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2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При організації моніторингу поверхневих вод проводять попередні обстеження, що включають вивчення стану водного об’єкта, отримання знань про водокористувачів, джерела забруднення, кількість, склад і режим скидання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ічних вод. Далі складається карта-схема водного об’єкта,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ій визначають координати розташування пунктів і створів спостережень, визначають характеристики забруднювальних речовин і складається програма робіт.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5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Для достовірного оцінювання якості води всієї водойми організовують не менше 3-х створів, по можливості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івномірно розташованих по акваторії водойми.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2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B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організації спостережень на окремих ділянках водойми потрібно: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1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5647F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на водоймі 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>з інтенсивним водообміном</w:t>
      </w:r>
      <w:r w:rsidRPr="00634CB9">
        <w:rPr>
          <w:rFonts w:ascii="Times New Roman" w:hAnsi="Times New Roman" w:cs="Times New Roman"/>
          <w:sz w:val="28"/>
          <w:szCs w:val="28"/>
        </w:rPr>
        <w:t xml:space="preserve"> встановити один створ вище джерела забруднення (фоновий для даного пункту), інші (не менше двох) нижче за течією від місця скидання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ічних вод – на відстані 500 м і </w:t>
      </w:r>
      <w:r w:rsidR="005647F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34CB9">
        <w:rPr>
          <w:rFonts w:ascii="Times New Roman" w:hAnsi="Times New Roman" w:cs="Times New Roman"/>
          <w:sz w:val="28"/>
          <w:szCs w:val="28"/>
        </w:rPr>
        <w:t xml:space="preserve">місці досить повного (не менше за 80%) гарантованого змішування стічних вод; 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1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– на водоймах </w:t>
      </w:r>
      <w:r w:rsidRPr="00634CB9">
        <w:rPr>
          <w:rFonts w:ascii="Times New Roman" w:hAnsi="Times New Roman" w:cs="Times New Roman"/>
          <w:i/>
          <w:iCs/>
          <w:sz w:val="28"/>
          <w:szCs w:val="28"/>
        </w:rPr>
        <w:t>з уповільненим водообміном</w:t>
      </w:r>
      <w:r w:rsidRPr="00634CB9">
        <w:rPr>
          <w:rFonts w:ascii="Times New Roman" w:hAnsi="Times New Roman" w:cs="Times New Roman"/>
          <w:sz w:val="28"/>
          <w:szCs w:val="28"/>
        </w:rPr>
        <w:t xml:space="preserve"> фоновий створ розташувати в частині водойми, де вплив забруднень мінімальний, другий створ – в місці скидання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ічних вод, а інші – паралельно другому по різні сторони від нього на відстані 0,5 км від місця скидання стічних вод і безпосередньо за межами зони забруднення. 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2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CB9">
        <w:rPr>
          <w:rFonts w:ascii="Times New Roman" w:hAnsi="Times New Roman" w:cs="Times New Roman"/>
          <w:sz w:val="28"/>
          <w:szCs w:val="28"/>
        </w:rPr>
        <w:t xml:space="preserve">Кожен створ має декілька вертикалей та горизонталей. Місце розташування вертикалей та кількість горизонтів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кожному створі визначаються характером скидів, особливостями течії водойми, умовами дна рельєфу. </w:t>
      </w: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34CB9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634CB9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вертикаллю створу</w:t>
      </w:r>
      <w:r w:rsidRPr="00634CB9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 умовну відвисну лінію від поверхні води до дна водойми або водотоку, на якій виконують роботи для одержання даних про якість води. Кількість вертикалей у створі спостережень визначається шириною зони забруднення. </w:t>
      </w:r>
      <w:r w:rsidRPr="00634CB9">
        <w:rPr>
          <w:rFonts w:ascii="Times New Roman" w:hAnsi="Times New Roman" w:cs="Times New Roman"/>
          <w:sz w:val="28"/>
          <w:szCs w:val="28"/>
        </w:rPr>
        <w:t xml:space="preserve">На водотоці у випадку однорідності хімічного складу води у створі робиться тільки одна вертикаль — на стрижні водотоку, а у випадку неоднорідності — не менше трьох (на відстані 3–5 м від кожного берега та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</w:t>
      </w:r>
      <w:r w:rsidRPr="00634CB9">
        <w:rPr>
          <w:rFonts w:ascii="Times New Roman" w:hAnsi="Times New Roman" w:cs="Times New Roman"/>
          <w:sz w:val="28"/>
          <w:szCs w:val="28"/>
        </w:rPr>
        <w:lastRenderedPageBreak/>
        <w:t xml:space="preserve">стрижні водотоку). У водоймах робиться не менше двох вертикалей. Першу вертикаль на водоймі розміщують на відстані не більше 0,5 км від берега або від місця скидання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ічних вод, останню – безпосередньо за межею зони забруднення.</w:t>
      </w:r>
    </w:p>
    <w:p w:rsidR="00634CB9" w:rsidRPr="00634CB9" w:rsidRDefault="00634CB9" w:rsidP="00C01C88">
      <w:pPr>
        <w:widowControl w:val="0"/>
        <w:autoSpaceDE w:val="0"/>
        <w:autoSpaceDN w:val="0"/>
        <w:adjustRightInd w:val="0"/>
        <w:spacing w:after="0" w:line="7" w:lineRule="exact"/>
        <w:ind w:firstLine="507"/>
        <w:rPr>
          <w:rFonts w:ascii="Times New Roman" w:hAnsi="Times New Roman" w:cs="Times New Roman"/>
          <w:sz w:val="28"/>
          <w:szCs w:val="28"/>
        </w:rPr>
      </w:pPr>
    </w:p>
    <w:p w:rsidR="00634CB9" w:rsidRPr="00634CB9" w:rsidRDefault="00634CB9" w:rsidP="00C01C88">
      <w:pPr>
        <w:widowControl w:val="0"/>
        <w:overflowPunct w:val="0"/>
        <w:autoSpaceDE w:val="0"/>
        <w:autoSpaceDN w:val="0"/>
        <w:adjustRightInd w:val="0"/>
        <w:spacing w:after="0" w:line="280" w:lineRule="auto"/>
        <w:ind w:firstLine="5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ід горизонтом створу розуміють місце на вертикалі (в глибину), в якому проводять комплекс робіт для одержання даних про якість води. Кількість горизонтів на вертикалі визначається з урахуванням глибини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водного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 xml:space="preserve"> об'єкта. При глибині до 5 м встановлюється один горизонт біля поверхні води (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ітку на 0,2–0,3 м від поверхні, взи</w:t>
      </w:r>
      <w:r w:rsidR="00C01C88">
        <w:rPr>
          <w:rFonts w:ascii="Times New Roman" w:hAnsi="Times New Roman" w:cs="Times New Roman"/>
          <w:sz w:val="28"/>
          <w:szCs w:val="28"/>
        </w:rPr>
        <w:t>мку біля нижньої поверхні льоду</w:t>
      </w:r>
      <w:r w:rsidRPr="00634CB9">
        <w:rPr>
          <w:rFonts w:ascii="Times New Roman" w:hAnsi="Times New Roman" w:cs="Times New Roman"/>
          <w:sz w:val="28"/>
          <w:szCs w:val="28"/>
        </w:rPr>
        <w:t xml:space="preserve">). При глибині від 5 до 10 м встановлюється два горизонти: біля поверхні і біля дна (на відстані 0,5 м від дна). При глибині більше 10 м на водотоках та більше 20 м на водоймах встановлюються три горизонти: біля поверхні, посередині та біля дна. При глибині більше 100 м встановлюються такі горизонти: біля поверхні, на глибинах 10, 20, 50, 100 м та біля дна. </w:t>
      </w:r>
      <w:proofErr w:type="gramStart"/>
      <w:r w:rsidRPr="00634CB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34CB9">
        <w:rPr>
          <w:rFonts w:ascii="Times New Roman" w:hAnsi="Times New Roman" w:cs="Times New Roman"/>
          <w:sz w:val="28"/>
          <w:szCs w:val="28"/>
        </w:rPr>
        <w:t>ім цього, встановлюються додаткові горизонти в кожному шарі зміни щільності води.</w:t>
      </w:r>
    </w:p>
    <w:p w:rsidR="00F20C50" w:rsidRPr="00634CB9" w:rsidRDefault="00F20C50" w:rsidP="00C01C88">
      <w:pPr>
        <w:ind w:firstLine="50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0C50" w:rsidRPr="00634CB9" w:rsidSect="00BB545B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99" w:rsidRDefault="00F93899" w:rsidP="00F20C50">
      <w:pPr>
        <w:spacing w:after="0" w:line="240" w:lineRule="auto"/>
      </w:pPr>
      <w:r>
        <w:separator/>
      </w:r>
    </w:p>
  </w:endnote>
  <w:endnote w:type="continuationSeparator" w:id="0">
    <w:p w:rsidR="00F93899" w:rsidRDefault="00F93899" w:rsidP="00F2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74050"/>
      <w:docPartObj>
        <w:docPartGallery w:val="Page Numbers (Bottom of Page)"/>
        <w:docPartUnique/>
      </w:docPartObj>
    </w:sdtPr>
    <w:sdtEndPr/>
    <w:sdtContent>
      <w:p w:rsidR="00F20C50" w:rsidRDefault="00F20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45B">
          <w:rPr>
            <w:noProof/>
          </w:rPr>
          <w:t>6</w:t>
        </w:r>
        <w:r>
          <w:fldChar w:fldCharType="end"/>
        </w:r>
      </w:p>
    </w:sdtContent>
  </w:sdt>
  <w:p w:rsidR="00F20C50" w:rsidRDefault="00F20C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99" w:rsidRDefault="00F93899" w:rsidP="00F20C50">
      <w:pPr>
        <w:spacing w:after="0" w:line="240" w:lineRule="auto"/>
      </w:pPr>
      <w:r>
        <w:separator/>
      </w:r>
    </w:p>
  </w:footnote>
  <w:footnote w:type="continuationSeparator" w:id="0">
    <w:p w:rsidR="00F93899" w:rsidRDefault="00F93899" w:rsidP="00F2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270"/>
    <w:multiLevelType w:val="hybridMultilevel"/>
    <w:tmpl w:val="00003492"/>
    <w:lvl w:ilvl="0" w:tplc="000019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73B"/>
    <w:multiLevelType w:val="hybridMultilevel"/>
    <w:tmpl w:val="00000633"/>
    <w:lvl w:ilvl="0" w:tplc="00007282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25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1D18">
      <w:start w:val="1"/>
      <w:numFmt w:val="bullet"/>
      <w:lvlText w:val="її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F61"/>
    <w:multiLevelType w:val="hybridMultilevel"/>
    <w:tmpl w:val="00003A8D"/>
    <w:lvl w:ilvl="0" w:tplc="00007F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C7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5E2132"/>
    <w:multiLevelType w:val="hybridMultilevel"/>
    <w:tmpl w:val="6A66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71"/>
    <w:rsid w:val="00050F8F"/>
    <w:rsid w:val="00065391"/>
    <w:rsid w:val="0008719F"/>
    <w:rsid w:val="003604F3"/>
    <w:rsid w:val="005647F3"/>
    <w:rsid w:val="00575E86"/>
    <w:rsid w:val="00634CB9"/>
    <w:rsid w:val="006449D8"/>
    <w:rsid w:val="0067773C"/>
    <w:rsid w:val="007E7603"/>
    <w:rsid w:val="0085294B"/>
    <w:rsid w:val="008A4D15"/>
    <w:rsid w:val="009F051A"/>
    <w:rsid w:val="00AB2171"/>
    <w:rsid w:val="00B53E69"/>
    <w:rsid w:val="00BB545B"/>
    <w:rsid w:val="00C01C88"/>
    <w:rsid w:val="00CE43B6"/>
    <w:rsid w:val="00E534AA"/>
    <w:rsid w:val="00F20C50"/>
    <w:rsid w:val="00F77D95"/>
    <w:rsid w:val="00F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50"/>
  </w:style>
  <w:style w:type="paragraph" w:styleId="a5">
    <w:name w:val="footer"/>
    <w:basedOn w:val="a"/>
    <w:link w:val="a6"/>
    <w:uiPriority w:val="99"/>
    <w:unhideWhenUsed/>
    <w:rsid w:val="00F2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50"/>
  </w:style>
  <w:style w:type="paragraph" w:styleId="a7">
    <w:name w:val="List Paragraph"/>
    <w:basedOn w:val="a"/>
    <w:uiPriority w:val="34"/>
    <w:qFormat/>
    <w:rsid w:val="00575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50"/>
  </w:style>
  <w:style w:type="paragraph" w:styleId="a5">
    <w:name w:val="footer"/>
    <w:basedOn w:val="a"/>
    <w:link w:val="a6"/>
    <w:uiPriority w:val="99"/>
    <w:unhideWhenUsed/>
    <w:rsid w:val="00F2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50"/>
  </w:style>
  <w:style w:type="paragraph" w:styleId="a7">
    <w:name w:val="List Paragraph"/>
    <w:basedOn w:val="a"/>
    <w:uiPriority w:val="34"/>
    <w:qFormat/>
    <w:rsid w:val="0057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2015-10-12T11:45:00Z</dcterms:created>
  <dcterms:modified xsi:type="dcterms:W3CDTF">2015-11-06T08:45:00Z</dcterms:modified>
</cp:coreProperties>
</file>