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C" w:rsidRPr="0005359C" w:rsidRDefault="0005359C" w:rsidP="000535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5359C">
        <w:rPr>
          <w:rFonts w:ascii="Times New Roman" w:hAnsi="Times New Roman" w:cs="Times New Roman"/>
          <w:sz w:val="28"/>
          <w:szCs w:val="28"/>
          <w:lang w:val="en-GB"/>
        </w:rPr>
        <w:t xml:space="preserve">Consider the following data, reported in millions of dollars for two countries: </w:t>
      </w: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87"/>
        <w:gridCol w:w="3187"/>
      </w:tblGrid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 A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 B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Exports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1400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Annual interest payment on Foreign Debt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Annual payment (principal) on Foreign Debt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</w:tr>
    </w:tbl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535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 xml:space="preserve">Compare the two countries in terms of country risk.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Fill in the table 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>“Types of crises”</w:t>
      </w: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3197"/>
        <w:gridCol w:w="3179"/>
      </w:tblGrid>
      <w:tr w:rsidR="0005359C" w:rsidRPr="0005359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Crisis type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Examples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Hyperinﬂation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rapid increase in the overall price level of a country,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typically deﬁned to be 40 percent or higher on an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annual</w:t>
            </w:r>
            <w:proofErr w:type="gramEnd"/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basis.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Zimbabwe, 1998–2009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Balance of payments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currency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crises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Mexico, 1994–1995, and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Brazil, 1999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Asset price deﬂation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sustained and large decline in the prices of ﬁnancial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assets</w:t>
            </w:r>
            <w:proofErr w:type="gramEnd"/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Japan, 1990, and United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States, 2007–2009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Banking crises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Argentina, 2001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External debt crises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Mexico, 1982</w:t>
            </w:r>
          </w:p>
        </w:tc>
      </w:tr>
      <w:tr w:rsidR="0005359C" w:rsidRPr="00747ADC" w:rsidTr="003D086F">
        <w:tc>
          <w:tcPr>
            <w:tcW w:w="3284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Domestic debt crises</w:t>
            </w: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Argentina, 1989</w:t>
            </w:r>
          </w:p>
        </w:tc>
      </w:tr>
    </w:tbl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5359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>. Fill in the table</w:t>
      </w:r>
      <w:r w:rsidRPr="00747ADC">
        <w:rPr>
          <w:rFonts w:ascii="Times New Roman" w:hAnsi="Times New Roman" w:cs="Times New Roman"/>
          <w:sz w:val="28"/>
          <w:szCs w:val="28"/>
          <w:lang w:val="en-GB"/>
        </w:rPr>
        <w:t xml:space="preserve"> “The Basel Accords”</w:t>
      </w: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3210"/>
        <w:gridCol w:w="3198"/>
      </w:tblGrid>
      <w:tr w:rsidR="0005359C" w:rsidRPr="0005359C" w:rsidTr="0005359C">
        <w:tc>
          <w:tcPr>
            <w:tcW w:w="3163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Stage</w:t>
            </w:r>
          </w:p>
        </w:tc>
        <w:tc>
          <w:tcPr>
            <w:tcW w:w="3210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Years of approval/</w:t>
            </w:r>
          </w:p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</w:t>
            </w:r>
          </w:p>
        </w:tc>
        <w:tc>
          <w:tcPr>
            <w:tcW w:w="3198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Components</w:t>
            </w:r>
          </w:p>
        </w:tc>
      </w:tr>
      <w:tr w:rsidR="0005359C" w:rsidRPr="00B00657" w:rsidTr="0005359C">
        <w:tc>
          <w:tcPr>
            <w:tcW w:w="3163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Basel I</w:t>
            </w:r>
          </w:p>
        </w:tc>
        <w:tc>
          <w:tcPr>
            <w:tcW w:w="3210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1988/1992</w:t>
            </w:r>
          </w:p>
        </w:tc>
        <w:tc>
          <w:tcPr>
            <w:tcW w:w="3198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Proposed regulatory capital requirements of 8 percent.</w:t>
            </w:r>
          </w:p>
        </w:tc>
      </w:tr>
      <w:tr w:rsidR="0005359C" w:rsidRPr="00747ADC" w:rsidTr="0005359C">
        <w:tc>
          <w:tcPr>
            <w:tcW w:w="3163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Basel II</w:t>
            </w:r>
          </w:p>
        </w:tc>
        <w:tc>
          <w:tcPr>
            <w:tcW w:w="3210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2004/2007</w:t>
            </w:r>
          </w:p>
        </w:tc>
        <w:tc>
          <w:tcPr>
            <w:tcW w:w="3198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5359C" w:rsidRPr="00747ADC" w:rsidTr="0005359C">
        <w:tc>
          <w:tcPr>
            <w:tcW w:w="3163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Basel III</w:t>
            </w:r>
          </w:p>
        </w:tc>
        <w:tc>
          <w:tcPr>
            <w:tcW w:w="3210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7A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2010/2013–2018</w:t>
            </w:r>
          </w:p>
        </w:tc>
        <w:tc>
          <w:tcPr>
            <w:tcW w:w="3198" w:type="dxa"/>
          </w:tcPr>
          <w:p w:rsidR="0005359C" w:rsidRPr="00747ADC" w:rsidRDefault="0005359C" w:rsidP="003D0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59C" w:rsidRPr="00747AD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05359C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The</w:t>
      </w:r>
      <w:proofErr w:type="gramEnd"/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next three questions pertain to Figure 4.</w:t>
      </w:r>
      <w:r w:rsidRPr="0005359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which represents the exchange market position of the United States in trade with the United Kingdom. Starting at the equilibrium exchange rate of $3 per pound, suppose the demand for pounds rises from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0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to D</w:t>
      </w:r>
      <w:r w:rsidRPr="00747ADC"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05359C" w:rsidRPr="00747AD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59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59C" w:rsidRPr="00747AD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Figure 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Foreign Exchange Market</w:t>
      </w:r>
    </w:p>
    <w:p w:rsidR="0005359C" w:rsidRPr="00747ADC" w:rsidRDefault="0005359C" w:rsidP="00053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47A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99A07" wp14:editId="34C6E665">
            <wp:extent cx="3700780" cy="3633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59C" w:rsidRPr="00747ADC" w:rsidRDefault="0005359C" w:rsidP="00053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.1 Refer to Figure 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 Under a fixed exchange rate system, U.S. monetary authorities would have to supply 8 million pounds in exchange for dollars to keep the exchange rate at $3 per pound.</w:t>
      </w: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.2 Refer to Figure4.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 If the exchange rate was allowed to rise to $4 per pound, U.S. monetary authorities would have to supply 6 million pounds to the foreign exchange market in exchange for dollars to maintain this rate.</w:t>
      </w:r>
    </w:p>
    <w:p w:rsidR="0005359C" w:rsidRPr="00747ADC" w:rsidRDefault="0005359C" w:rsidP="00053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.3 Refer to Figure 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7ADC">
        <w:rPr>
          <w:rFonts w:ascii="Times New Roman" w:eastAsia="Calibri" w:hAnsi="Times New Roman" w:cs="Times New Roman"/>
          <w:sz w:val="28"/>
          <w:szCs w:val="28"/>
          <w:lang w:val="en-GB"/>
        </w:rPr>
        <w:t>. Under a floating exchange rate system, the exchange rate would rise to $4 and U.S. monetary authorities would have to supply 4 million pounds to the foreign exchange market in exchange for dollars to maintain this rate.</w:t>
      </w:r>
    </w:p>
    <w:p w:rsidR="00C259D0" w:rsidRDefault="00C259D0"/>
    <w:p w:rsidR="00087ECF" w:rsidRPr="00087ECF" w:rsidRDefault="00087ECF">
      <w:bookmarkStart w:id="0" w:name="_GoBack"/>
      <w:bookmarkEnd w:id="0"/>
    </w:p>
    <w:sectPr w:rsidR="00087ECF" w:rsidRPr="0008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1A"/>
    <w:multiLevelType w:val="hybridMultilevel"/>
    <w:tmpl w:val="71B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C"/>
    <w:rsid w:val="0005359C"/>
    <w:rsid w:val="00087ECF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9C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9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2014-08-25T18:14:00Z</dcterms:created>
  <dcterms:modified xsi:type="dcterms:W3CDTF">2014-08-25T18:16:00Z</dcterms:modified>
</cp:coreProperties>
</file>