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D9" w:rsidRDefault="000166D9" w:rsidP="000166D9">
      <w:pPr>
        <w:jc w:val="center"/>
        <w:rPr>
          <w:b/>
        </w:rPr>
      </w:pPr>
      <w:r>
        <w:rPr>
          <w:b/>
        </w:rPr>
        <w:t>Выбор основного оборудования ТЭЦ или котельной</w:t>
      </w:r>
    </w:p>
    <w:p w:rsidR="000166D9" w:rsidRDefault="000166D9" w:rsidP="000166D9">
      <w:pPr>
        <w:rPr>
          <w:b/>
        </w:rPr>
      </w:pPr>
    </w:p>
    <w:p w:rsidR="000166D9" w:rsidRDefault="000166D9" w:rsidP="000166D9">
      <w:pPr>
        <w:pStyle w:val="a3"/>
      </w:pPr>
      <w:r>
        <w:t>Выбор основного оборудования на проектируемой ТЭЦ или котел</w:t>
      </w:r>
      <w:r>
        <w:t>ь</w:t>
      </w:r>
      <w:r>
        <w:t>ной производят исходя из требуемой тепловой нагрузки, которая может быть задана графиками тепловых нагрузок и параметрами теплопотребл</w:t>
      </w:r>
      <w:r>
        <w:t>е</w:t>
      </w:r>
      <w:r>
        <w:t>ния.</w:t>
      </w:r>
    </w:p>
    <w:p w:rsidR="000166D9" w:rsidRDefault="000166D9" w:rsidP="000166D9">
      <w:r>
        <w:t>Графики теплопотребления теплоты на технологические нужды з</w:t>
      </w:r>
      <w:r>
        <w:t>а</w:t>
      </w:r>
      <w:r>
        <w:t>висят от особенностей производства, режима работы оборудования, техн</w:t>
      </w:r>
      <w:r>
        <w:t>о</w:t>
      </w:r>
      <w:r>
        <w:t>логич</w:t>
      </w:r>
      <w:r>
        <w:t>е</w:t>
      </w:r>
      <w:r>
        <w:t>ских процессов и т.д.</w:t>
      </w:r>
    </w:p>
    <w:p w:rsidR="000166D9" w:rsidRPr="00DF06B6" w:rsidRDefault="000166D9" w:rsidP="000166D9">
      <w:r>
        <w:t>При составлении тепловых графиков нагрузки т</w:t>
      </w:r>
      <w:bookmarkStart w:id="0" w:name="_GoBack"/>
      <w:bookmarkEnd w:id="0"/>
      <w:r>
        <w:t>ребуется знать р</w:t>
      </w:r>
      <w:r>
        <w:t>е</w:t>
      </w:r>
      <w:r>
        <w:t>жим работы оборудования потребителя и нормы количества теплоты на единицу продукции. Для каждого потребителя определяют потребный ра</w:t>
      </w:r>
      <w:r>
        <w:t>с</w:t>
      </w:r>
      <w:r>
        <w:t>ход теплоты в году. Графики суммируются по одинаковым параметрам п</w:t>
      </w:r>
      <w:r>
        <w:t>а</w:t>
      </w:r>
      <w:r>
        <w:t>ра и гор</w:t>
      </w:r>
      <w:r>
        <w:t>я</w:t>
      </w:r>
      <w:r>
        <w:t>чей воды. При выборе основного оборудования на промышленной ТЭЦ или котельной следует уч</w:t>
      </w:r>
      <w:r>
        <w:t>и</w:t>
      </w:r>
      <w:r>
        <w:t>тывать использование теплоты вторичных энергоресурсов предприятий. Построение и вид графиков технологическ</w:t>
      </w:r>
      <w:r>
        <w:t>о</w:t>
      </w:r>
      <w:r>
        <w:t>го теплопотребления для разли</w:t>
      </w:r>
      <w:r>
        <w:t>ч</w:t>
      </w:r>
      <w:r>
        <w:t xml:space="preserve">ных энергоемких производств указаны в </w:t>
      </w:r>
      <w:r w:rsidRPr="00DF06B6">
        <w:t>[2].</w:t>
      </w:r>
    </w:p>
    <w:p w:rsidR="000166D9" w:rsidRDefault="000166D9" w:rsidP="000166D9">
      <w:r>
        <w:t>Для проектирования отопительной ТЭЦ или котельной необходимо по заданным расчетным вел</w:t>
      </w:r>
      <w:r>
        <w:t>и</w:t>
      </w:r>
      <w:r>
        <w:t>чинам теплофикационной нагрузки построить годовой график тепловой нагрузки на отопление, вентиляцию и горячее водоснабжение.</w:t>
      </w:r>
    </w:p>
    <w:p w:rsidR="000166D9" w:rsidRDefault="000166D9" w:rsidP="000166D9">
      <w:r>
        <w:t>Для построения годового графика тепловой нагрузки по продолж</w:t>
      </w:r>
      <w:r>
        <w:t>и</w:t>
      </w:r>
      <w:r>
        <w:t>тельности необходимо</w:t>
      </w:r>
      <w:r w:rsidRPr="00DF06B6">
        <w:t>:</w:t>
      </w:r>
    </w:p>
    <w:p w:rsidR="000166D9" w:rsidRDefault="000166D9" w:rsidP="000166D9">
      <w:r>
        <w:t>а) знать длительность стояния различных наружных температур от</w:t>
      </w:r>
      <w:r>
        <w:t>о</w:t>
      </w:r>
      <w:r>
        <w:t>пительного периода для клим</w:t>
      </w:r>
      <w:r>
        <w:t>а</w:t>
      </w:r>
      <w:r>
        <w:t xml:space="preserve">тического пояса в месте строительства ТЭЦ или котельной </w:t>
      </w:r>
      <w:r w:rsidRPr="00DF06B6">
        <w:t>[3];</w:t>
      </w:r>
    </w:p>
    <w:p w:rsidR="000166D9" w:rsidRPr="00DF06B6" w:rsidRDefault="000166D9" w:rsidP="000166D9">
      <w:r>
        <w:t>б) построить часовой график расхода теплоты в зависимости от н</w:t>
      </w:r>
      <w:r>
        <w:t>а</w:t>
      </w:r>
      <w:r>
        <w:t xml:space="preserve">ружной температуры </w:t>
      </w:r>
      <w:r w:rsidRPr="00DF06B6">
        <w:t>[3];</w:t>
      </w:r>
    </w:p>
    <w:p w:rsidR="000166D9" w:rsidRDefault="000166D9" w:rsidP="000166D9">
      <w:r>
        <w:t>в) построить температурный график сети, т.е. зависимость темпер</w:t>
      </w:r>
      <w:r>
        <w:t>а</w:t>
      </w:r>
      <w:r>
        <w:t xml:space="preserve">туры сетевой воды от наружной температуры воздуха </w:t>
      </w:r>
      <w:r w:rsidRPr="00DF06B6">
        <w:t>[3]</w:t>
      </w:r>
      <w:r>
        <w:t>.</w:t>
      </w:r>
    </w:p>
    <w:p w:rsidR="000166D9" w:rsidRDefault="000166D9" w:rsidP="000166D9">
      <w:r>
        <w:t>Пример построения годового графика тепловой нагрузки по продо</w:t>
      </w:r>
      <w:r>
        <w:t>л</w:t>
      </w:r>
      <w:r>
        <w:t xml:space="preserve">жительности приведен в </w:t>
      </w:r>
      <w:r w:rsidRPr="00DF06B6">
        <w:t>[4].</w:t>
      </w:r>
    </w:p>
    <w:p w:rsidR="000166D9" w:rsidRDefault="000166D9" w:rsidP="000166D9">
      <w:r>
        <w:t>Базовую часть отопительной нагрузки покрывают за счет сетевых подогревателей, потребляющих пар из регулируемых отборов турбин, п</w:t>
      </w:r>
      <w:r>
        <w:t>и</w:t>
      </w:r>
      <w:r>
        <w:t>ковую часть – за счет установки пиковых подогревателей или водогрейных котлов (ПВК).</w:t>
      </w:r>
    </w:p>
    <w:p w:rsidR="000166D9" w:rsidRDefault="000166D9" w:rsidP="000166D9">
      <w:r>
        <w:t>На основании построенного графика тепловой нагрузки по продо</w:t>
      </w:r>
      <w:r>
        <w:t>л</w:t>
      </w:r>
      <w:r>
        <w:t xml:space="preserve">жительности выбирают число и единичную мощность турбин, оценивая величину расчетного коэффициента теплофикации </w:t>
      </w:r>
      <w:r>
        <w:rPr>
          <w:position w:val="-16"/>
        </w:rPr>
        <w:object w:dxaOrig="7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1pt" o:ole="" fillcolor="window">
            <v:imagedata r:id="rId5" o:title=""/>
          </v:shape>
          <o:OLEObject Type="Embed" ProgID="Equation.3" ShapeID="_x0000_i1025" DrawAspect="Content" ObjectID="_1738662861" r:id="rId6"/>
        </w:object>
      </w:r>
      <w:r>
        <w:t>, а для отопител</w:t>
      </w:r>
      <w:r>
        <w:t>ь</w:t>
      </w:r>
      <w:r>
        <w:t>ных котельных - число и производ</w:t>
      </w:r>
      <w:r>
        <w:t>и</w:t>
      </w:r>
      <w:r>
        <w:t xml:space="preserve">тельность </w:t>
      </w:r>
      <w:proofErr w:type="spellStart"/>
      <w:r>
        <w:t>котлоагрегатов</w:t>
      </w:r>
      <w:proofErr w:type="spellEnd"/>
      <w:r>
        <w:t>.</w:t>
      </w:r>
    </w:p>
    <w:p w:rsidR="000166D9" w:rsidRDefault="000166D9" w:rsidP="000166D9">
      <w:r>
        <w:t xml:space="preserve">Оптимальное значение </w:t>
      </w:r>
      <w:r>
        <w:rPr>
          <w:position w:val="-16"/>
        </w:rPr>
        <w:object w:dxaOrig="700" w:dyaOrig="420">
          <v:shape id="_x0000_i1026" type="#_x0000_t75" style="width:35.25pt;height:21pt" o:ole="" fillcolor="window">
            <v:imagedata r:id="rId5" o:title=""/>
          </v:shape>
          <o:OLEObject Type="Embed" ProgID="Equation.3" ShapeID="_x0000_i1026" DrawAspect="Content" ObjectID="_1738662862" r:id="rId7"/>
        </w:object>
      </w:r>
      <w:r>
        <w:t xml:space="preserve"> зависит от характера тепловой нагру</w:t>
      </w:r>
      <w:r>
        <w:t>з</w:t>
      </w:r>
      <w:r>
        <w:t>ки, мощности ТЭЦ, начальных параметров, замыкающих затрат на топл</w:t>
      </w:r>
      <w:r>
        <w:t>и</w:t>
      </w:r>
      <w:r>
        <w:t>во, типа замещаемых источников и ряда других величин</w:t>
      </w:r>
      <w:r w:rsidRPr="00DF06B6">
        <w:t>;</w:t>
      </w:r>
      <w:r>
        <w:t xml:space="preserve"> </w:t>
      </w:r>
      <w:r>
        <w:rPr>
          <w:position w:val="-16"/>
        </w:rPr>
        <w:object w:dxaOrig="700" w:dyaOrig="420">
          <v:shape id="_x0000_i1027" type="#_x0000_t75" style="width:35.25pt;height:21pt" o:ole="" fillcolor="window">
            <v:imagedata r:id="rId5" o:title=""/>
          </v:shape>
          <o:OLEObject Type="Embed" ProgID="Equation.3" ShapeID="_x0000_i1027" DrawAspect="Content" ObjectID="_1738662863" r:id="rId8"/>
        </w:object>
      </w:r>
      <w:r>
        <w:t xml:space="preserve"> определ</w:t>
      </w:r>
      <w:r>
        <w:t>я</w:t>
      </w:r>
      <w:r>
        <w:t>ется технико-экономическими расчетами.</w:t>
      </w:r>
    </w:p>
    <w:p w:rsidR="000166D9" w:rsidRDefault="000166D9" w:rsidP="000166D9">
      <w:r>
        <w:lastRenderedPageBreak/>
        <w:t>При равномерной технологической нагрузке в течение года прин</w:t>
      </w:r>
      <w:r>
        <w:t>и</w:t>
      </w:r>
      <w:r>
        <w:t xml:space="preserve">мают </w:t>
      </w:r>
      <w:r>
        <w:rPr>
          <w:position w:val="-16"/>
        </w:rPr>
        <w:object w:dxaOrig="700" w:dyaOrig="420">
          <v:shape id="_x0000_i1028" type="#_x0000_t75" style="width:35.25pt;height:21pt" o:ole="" fillcolor="window">
            <v:imagedata r:id="rId5" o:title=""/>
          </v:shape>
          <o:OLEObject Type="Embed" ProgID="Equation.3" ShapeID="_x0000_i1028" DrawAspect="Content" ObjectID="_1738662864" r:id="rId9"/>
        </w:object>
      </w:r>
      <w:r>
        <w:t xml:space="preserve"> =0,8…0,9, при отопительной нагрузке для ТЭЦ высокого да</w:t>
      </w:r>
      <w:r>
        <w:t>в</w:t>
      </w:r>
      <w:r>
        <w:t xml:space="preserve">ления </w:t>
      </w:r>
      <w:r>
        <w:rPr>
          <w:position w:val="-16"/>
        </w:rPr>
        <w:object w:dxaOrig="700" w:dyaOrig="420">
          <v:shape id="_x0000_i1029" type="#_x0000_t75" style="width:35.25pt;height:21pt" o:ole="" fillcolor="window">
            <v:imagedata r:id="rId5" o:title=""/>
          </v:shape>
          <o:OLEObject Type="Embed" ProgID="Equation.3" ShapeID="_x0000_i1029" DrawAspect="Content" ObjectID="_1738662865" r:id="rId10"/>
        </w:object>
      </w:r>
      <w:r>
        <w:t xml:space="preserve"> = 0,5…0,7, для ТЭЦ среднего давления </w:t>
      </w:r>
      <w:r>
        <w:rPr>
          <w:position w:val="-16"/>
        </w:rPr>
        <w:object w:dxaOrig="700" w:dyaOrig="420">
          <v:shape id="_x0000_i1030" type="#_x0000_t75" style="width:35.25pt;height:21pt" o:ole="" fillcolor="window">
            <v:imagedata r:id="rId5" o:title=""/>
          </v:shape>
          <o:OLEObject Type="Embed" ProgID="Equation.3" ShapeID="_x0000_i1030" DrawAspect="Content" ObjectID="_1738662866" r:id="rId11"/>
        </w:object>
      </w:r>
      <w:r>
        <w:t xml:space="preserve"> = 0,4…0,5.</w:t>
      </w:r>
    </w:p>
    <w:p w:rsidR="000166D9" w:rsidRDefault="000166D9" w:rsidP="000166D9">
      <w:r>
        <w:t>Выбор основного оборудования на ТЭЦ производят по «Нормам те</w:t>
      </w:r>
      <w:r>
        <w:t>х</w:t>
      </w:r>
      <w:r>
        <w:t>нологического проектирования тепловых электростанций». При выборе типа турбин следует стремиться к максимальной выработке электроэне</w:t>
      </w:r>
      <w:r>
        <w:t>р</w:t>
      </w:r>
      <w:r>
        <w:t xml:space="preserve">гии на базе отпускаемой теплоты от ТЭЦ путем установки </w:t>
      </w:r>
      <w:proofErr w:type="spellStart"/>
      <w:r>
        <w:t>противодавле</w:t>
      </w:r>
      <w:r>
        <w:t>н</w:t>
      </w:r>
      <w:r>
        <w:t>ческих</w:t>
      </w:r>
      <w:proofErr w:type="spellEnd"/>
      <w:r>
        <w:t xml:space="preserve"> ту</w:t>
      </w:r>
      <w:r>
        <w:t>р</w:t>
      </w:r>
      <w:r>
        <w:t>бин и турбин с регулируемыми отборами пара.</w:t>
      </w:r>
    </w:p>
    <w:p w:rsidR="000166D9" w:rsidRDefault="000166D9" w:rsidP="000166D9">
      <w:r>
        <w:t>Единичную мощность турбин выбирают по величине тепловых н</w:t>
      </w:r>
      <w:r>
        <w:t>а</w:t>
      </w:r>
      <w:r>
        <w:t>грузок, исходя из</w:t>
      </w:r>
      <w:r w:rsidRPr="00DF06B6">
        <w:t>:</w:t>
      </w:r>
    </w:p>
    <w:p w:rsidR="000166D9" w:rsidRDefault="000166D9" w:rsidP="000166D9">
      <w:r>
        <w:t>а) покрытия максимального количества теплоты на технологические нужды</w:t>
      </w:r>
      <w:r w:rsidRPr="00DF06B6">
        <w:t>;</w:t>
      </w:r>
    </w:p>
    <w:p w:rsidR="000166D9" w:rsidRDefault="000166D9" w:rsidP="000166D9">
      <w:r>
        <w:t>б) удовлетворения потребности в теплоте на горячее вод</w:t>
      </w:r>
      <w:r>
        <w:t>о</w:t>
      </w:r>
      <w:r>
        <w:t>снабжение</w:t>
      </w:r>
      <w:r w:rsidRPr="00DF06B6">
        <w:t>;</w:t>
      </w:r>
    </w:p>
    <w:p w:rsidR="000166D9" w:rsidRDefault="000166D9" w:rsidP="000166D9">
      <w:r>
        <w:t>в) покрытия 50…70% максимальной отопительной нагрузки за счет отборов турбин (</w:t>
      </w:r>
      <w:r>
        <w:rPr>
          <w:position w:val="-16"/>
        </w:rPr>
        <w:object w:dxaOrig="700" w:dyaOrig="420">
          <v:shape id="_x0000_i1031" type="#_x0000_t75" style="width:35.25pt;height:21pt" o:ole="" fillcolor="window">
            <v:imagedata r:id="rId5" o:title=""/>
          </v:shape>
          <o:OLEObject Type="Embed" ProgID="Equation.3" ShapeID="_x0000_i1031" DrawAspect="Content" ObjectID="_1738662867" r:id="rId12"/>
        </w:object>
      </w:r>
      <w:r>
        <w:t xml:space="preserve"> = 0,5…0,7). Остальные 50-30% нагрузки удовлетв</w:t>
      </w:r>
      <w:r>
        <w:t>о</w:t>
      </w:r>
      <w:r>
        <w:t>ряются п</w:t>
      </w:r>
      <w:r>
        <w:t>и</w:t>
      </w:r>
      <w:r>
        <w:t>ковыми подогревателями или ПВК.</w:t>
      </w:r>
    </w:p>
    <w:p w:rsidR="000166D9" w:rsidRDefault="000166D9" w:rsidP="000166D9">
      <w:r>
        <w:t>Для ТЭЦ производительность и число котлов выбирают таким обр</w:t>
      </w:r>
      <w:r>
        <w:t>а</w:t>
      </w:r>
      <w:r>
        <w:t>зом, чтобы при аварии одного из котлов, остальные, включая ПВК, смогли обеспечить паром турбину при максимальном расходе теплоты на техн</w:t>
      </w:r>
      <w:r>
        <w:t>о</w:t>
      </w:r>
      <w:r>
        <w:t>логические нужды и среднюю за отопительный сезон тепловую нагрузку. Котлы желательно проектировать однотипными, резер</w:t>
      </w:r>
      <w:r>
        <w:t>в</w:t>
      </w:r>
      <w:r>
        <w:t>ный котел должен быть по производительности не меньше самого крупного котла ТЭЦ.</w:t>
      </w:r>
    </w:p>
    <w:p w:rsidR="000166D9" w:rsidRPr="00DF06B6" w:rsidRDefault="000166D9" w:rsidP="000166D9">
      <w:r>
        <w:t>Пиковые водогрейные котлы могут устанавливаться на площадке ТЭЦ или у потребителя в центре тепловых нагрузок. Топливом для них служит, как правило, газ или мазут. Технологические характеристики о</w:t>
      </w:r>
      <w:r>
        <w:t>с</w:t>
      </w:r>
      <w:r>
        <w:t xml:space="preserve">новного оборудования ТЭЦ приведены в </w:t>
      </w:r>
      <w:r w:rsidRPr="00DF06B6">
        <w:t>[5</w:t>
      </w:r>
      <w:r>
        <w:t>]</w:t>
      </w:r>
      <w:r w:rsidRPr="00DF06B6">
        <w:t>,</w:t>
      </w:r>
      <w:r>
        <w:t xml:space="preserve"> </w:t>
      </w:r>
      <w:r w:rsidRPr="00DF06B6">
        <w:t>[</w:t>
      </w:r>
      <w:r>
        <w:t>6]</w:t>
      </w:r>
      <w:r w:rsidRPr="00DF06B6">
        <w:t>,</w:t>
      </w:r>
      <w:r>
        <w:t xml:space="preserve"> </w:t>
      </w:r>
      <w:r w:rsidRPr="00DF06B6">
        <w:t>[</w:t>
      </w:r>
      <w:r>
        <w:t>7]</w:t>
      </w:r>
      <w:r w:rsidRPr="00DF06B6">
        <w:t>.</w:t>
      </w:r>
    </w:p>
    <w:p w:rsidR="000166D9" w:rsidRDefault="000166D9" w:rsidP="000166D9">
      <w:r>
        <w:t xml:space="preserve">Центральные котельные проектируются согласно нормам, указанным СНиП П-35-76 «Котельные установки». Число и единичную </w:t>
      </w:r>
      <w:proofErr w:type="spellStart"/>
      <w:r>
        <w:t>теплопрои</w:t>
      </w:r>
      <w:r>
        <w:t>з</w:t>
      </w:r>
      <w:r>
        <w:t>водительность</w:t>
      </w:r>
      <w:proofErr w:type="spellEnd"/>
      <w:r>
        <w:t xml:space="preserve"> котлов выбирают исходя из расчетной </w:t>
      </w:r>
      <w:proofErr w:type="spellStart"/>
      <w:r>
        <w:t>теплопроизвод</w:t>
      </w:r>
      <w:r>
        <w:t>и</w:t>
      </w:r>
      <w:r>
        <w:t>тельности</w:t>
      </w:r>
      <w:proofErr w:type="spellEnd"/>
      <w:r>
        <w:t xml:space="preserve"> котельной таким обр</w:t>
      </w:r>
      <w:r>
        <w:t>а</w:t>
      </w:r>
      <w:r>
        <w:t>зом, чтобы при аварии самого крупного котла остальные котлы обеспечивали максимальную технологическую н</w:t>
      </w:r>
      <w:r>
        <w:t>а</w:t>
      </w:r>
      <w:r>
        <w:t>грузку и отпуск теплоты на отопление, вентиляцию и горячее водоснабж</w:t>
      </w:r>
      <w:r>
        <w:t>е</w:t>
      </w:r>
      <w:r>
        <w:t>ние в температурном режиме «наиболее холодного м</w:t>
      </w:r>
      <w:r>
        <w:t>е</w:t>
      </w:r>
      <w:r>
        <w:t>сяца». Выбор типа котлов при смешанной нагрузке производится в зависимости от соотнош</w:t>
      </w:r>
      <w:r>
        <w:t>е</w:t>
      </w:r>
      <w:r>
        <w:t>ния технологической и теплофикационной нагрузок на о</w:t>
      </w:r>
      <w:r>
        <w:t>с</w:t>
      </w:r>
      <w:r>
        <w:t>новании технико-эк</w:t>
      </w:r>
      <w:r>
        <w:t>о</w:t>
      </w:r>
      <w:r>
        <w:t>номических расчетов.</w:t>
      </w:r>
    </w:p>
    <w:p w:rsidR="000166D9" w:rsidRDefault="000166D9" w:rsidP="000166D9">
      <w:r>
        <w:t>Номенклатура паровых и водогрейных котлов, выпускаемых отеч</w:t>
      </w:r>
      <w:r>
        <w:t>е</w:t>
      </w:r>
      <w:r>
        <w:t>ственной промышленностью, пр</w:t>
      </w:r>
      <w:r>
        <w:t>и</w:t>
      </w:r>
      <w:r>
        <w:t xml:space="preserve">ведены в </w:t>
      </w:r>
      <w:r w:rsidRPr="00DF06B6">
        <w:t>[8].</w:t>
      </w:r>
    </w:p>
    <w:p w:rsidR="000166D9" w:rsidRDefault="000166D9" w:rsidP="000166D9"/>
    <w:p w:rsidR="000166D9" w:rsidRDefault="000166D9" w:rsidP="000166D9">
      <w:pPr>
        <w:pStyle w:val="a5"/>
        <w:numPr>
          <w:ilvl w:val="0"/>
          <w:numId w:val="2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</w:pPr>
      <w:r>
        <w:t xml:space="preserve">Андрющенко А. И. Теплофикационные установки и их использование / А. И. Андрющенко, Р. З. Аминов, Ю. М. </w:t>
      </w:r>
      <w:proofErr w:type="spellStart"/>
      <w:r>
        <w:t>Хлебалин</w:t>
      </w:r>
      <w:proofErr w:type="spellEnd"/>
      <w:r>
        <w:t>. – М.: Высшая школа, 1989. – 256 с.</w:t>
      </w:r>
    </w:p>
    <w:p w:rsidR="000166D9" w:rsidRDefault="000166D9" w:rsidP="000166D9">
      <w:pPr>
        <w:numPr>
          <w:ilvl w:val="0"/>
          <w:numId w:val="2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</w:pPr>
      <w:r>
        <w:t xml:space="preserve">Соколов Е. Я. Теплофикация и тепловые сети / Е. Я. Соколов. – М.: </w:t>
      </w:r>
      <w:proofErr w:type="spellStart"/>
      <w:r>
        <w:t>Энергоиздат</w:t>
      </w:r>
      <w:proofErr w:type="spellEnd"/>
      <w:r>
        <w:t>, 1982. – 360 с.</w:t>
      </w:r>
    </w:p>
    <w:p w:rsidR="000166D9" w:rsidRDefault="000166D9" w:rsidP="000166D9">
      <w:pPr>
        <w:numPr>
          <w:ilvl w:val="0"/>
          <w:numId w:val="2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</w:pPr>
      <w:r>
        <w:lastRenderedPageBreak/>
        <w:t xml:space="preserve">Сафонов А. П. Сборник задач по теплофикации и тепловым сетям / А. П. Сафонов. – М.: </w:t>
      </w:r>
      <w:proofErr w:type="spellStart"/>
      <w:r>
        <w:t>Энергоатомиздат</w:t>
      </w:r>
      <w:proofErr w:type="spellEnd"/>
      <w:r>
        <w:t>, 1985. – 232 с.</w:t>
      </w:r>
    </w:p>
    <w:p w:rsidR="000166D9" w:rsidRDefault="000166D9" w:rsidP="000166D9">
      <w:pPr>
        <w:numPr>
          <w:ilvl w:val="0"/>
          <w:numId w:val="2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right="-144"/>
      </w:pPr>
      <w:proofErr w:type="spellStart"/>
      <w:r>
        <w:t>Шляхин</w:t>
      </w:r>
      <w:proofErr w:type="spellEnd"/>
      <w:r>
        <w:t xml:space="preserve"> П. И. Краткий справочник по паротурбинным установкам / П. И. </w:t>
      </w:r>
      <w:proofErr w:type="spellStart"/>
      <w:r>
        <w:t>Шляхин</w:t>
      </w:r>
      <w:proofErr w:type="spellEnd"/>
      <w:r>
        <w:t xml:space="preserve">, М. Л. </w:t>
      </w:r>
      <w:proofErr w:type="spellStart"/>
      <w:r>
        <w:t>Бершадский</w:t>
      </w:r>
      <w:proofErr w:type="spellEnd"/>
      <w:r>
        <w:t xml:space="preserve">. – М.: </w:t>
      </w:r>
      <w:proofErr w:type="spellStart"/>
      <w:r>
        <w:t>Госэнергоиздат</w:t>
      </w:r>
      <w:proofErr w:type="spellEnd"/>
      <w:r>
        <w:t>, 1970. – 216 с.</w:t>
      </w:r>
    </w:p>
    <w:p w:rsidR="000166D9" w:rsidRDefault="000166D9" w:rsidP="000166D9">
      <w:pPr>
        <w:pStyle w:val="a5"/>
        <w:numPr>
          <w:ilvl w:val="0"/>
          <w:numId w:val="2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</w:pPr>
      <w:r>
        <w:t xml:space="preserve">Теплоэнергетика и теплотехника Тепловые и атомные электростанции: справочник / под общ. ред. В. А. Григорьева, В. М. Зорина. – М.: </w:t>
      </w:r>
      <w:proofErr w:type="spellStart"/>
      <w:r>
        <w:t>Энергоатомиздат</w:t>
      </w:r>
      <w:proofErr w:type="spellEnd"/>
      <w:r>
        <w:t>, 1983. – 528 с.</w:t>
      </w:r>
    </w:p>
    <w:p w:rsidR="000166D9" w:rsidRDefault="000166D9" w:rsidP="000166D9">
      <w:pPr>
        <w:pStyle w:val="a5"/>
        <w:numPr>
          <w:ilvl w:val="0"/>
          <w:numId w:val="2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</w:pPr>
      <w:proofErr w:type="spellStart"/>
      <w:r>
        <w:t>Бененсон</w:t>
      </w:r>
      <w:proofErr w:type="spellEnd"/>
      <w:r>
        <w:t xml:space="preserve">   </w:t>
      </w:r>
      <w:r w:rsidRPr="003446C1">
        <w:t xml:space="preserve"> </w:t>
      </w:r>
      <w:r>
        <w:t xml:space="preserve">Е.   И.    Теплофикационные    паровые    турбины    /   Е. И. </w:t>
      </w:r>
      <w:proofErr w:type="spellStart"/>
      <w:r>
        <w:t>Бененсон</w:t>
      </w:r>
      <w:proofErr w:type="spellEnd"/>
      <w:r>
        <w:t xml:space="preserve">, Л. С. Иоффе. – М.: </w:t>
      </w:r>
      <w:proofErr w:type="spellStart"/>
      <w:r>
        <w:t>Энергоатомиздат</w:t>
      </w:r>
      <w:proofErr w:type="spellEnd"/>
      <w:r>
        <w:t>, 1986. – 272 с.</w:t>
      </w:r>
    </w:p>
    <w:p w:rsidR="000166D9" w:rsidRDefault="000166D9" w:rsidP="000166D9">
      <w:pPr>
        <w:numPr>
          <w:ilvl w:val="0"/>
          <w:numId w:val="2"/>
        </w:numPr>
        <w:tabs>
          <w:tab w:val="num" w:pos="0"/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</w:pPr>
      <w:proofErr w:type="spellStart"/>
      <w:r>
        <w:t>Бузников</w:t>
      </w:r>
      <w:proofErr w:type="spellEnd"/>
      <w:r>
        <w:t xml:space="preserve"> Е. Ф.  </w:t>
      </w:r>
      <w:proofErr w:type="gramStart"/>
      <w:r>
        <w:t>Производственные  и</w:t>
      </w:r>
      <w:proofErr w:type="gramEnd"/>
      <w:r>
        <w:t xml:space="preserve">  отопительные  котельные / Е. Ф. </w:t>
      </w:r>
      <w:proofErr w:type="spellStart"/>
      <w:r>
        <w:t>Бузников</w:t>
      </w:r>
      <w:proofErr w:type="spellEnd"/>
      <w:r>
        <w:t xml:space="preserve">, К. Ф. </w:t>
      </w:r>
      <w:proofErr w:type="spellStart"/>
      <w:r>
        <w:t>Роддатис</w:t>
      </w:r>
      <w:proofErr w:type="spellEnd"/>
      <w:r>
        <w:t xml:space="preserve">, Э. Я. Берзиньш. – М.: </w:t>
      </w:r>
      <w:proofErr w:type="spellStart"/>
      <w:r>
        <w:t>Энергоатомиздат</w:t>
      </w:r>
      <w:proofErr w:type="spellEnd"/>
      <w:r>
        <w:t>, 1984. – 248 с.</w:t>
      </w:r>
    </w:p>
    <w:p w:rsidR="000166D9" w:rsidRDefault="000166D9" w:rsidP="000166D9"/>
    <w:p w:rsidR="005F23B9" w:rsidRDefault="00A35ECF"/>
    <w:sectPr w:rsidR="005F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4E1"/>
    <w:multiLevelType w:val="hybridMultilevel"/>
    <w:tmpl w:val="893E92A2"/>
    <w:lvl w:ilvl="0" w:tplc="DF9C174C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729523B"/>
    <w:multiLevelType w:val="hybridMultilevel"/>
    <w:tmpl w:val="92E4A902"/>
    <w:lvl w:ilvl="0" w:tplc="F200B2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6A0FEF"/>
    <w:multiLevelType w:val="hybridMultilevel"/>
    <w:tmpl w:val="79DED068"/>
    <w:lvl w:ilvl="0" w:tplc="6F02250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D9"/>
    <w:rsid w:val="000166D9"/>
    <w:rsid w:val="0010510E"/>
    <w:rsid w:val="003E289B"/>
    <w:rsid w:val="00A35ECF"/>
    <w:rsid w:val="00FB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159AA"/>
  <w15:chartTrackingRefBased/>
  <w15:docId w15:val="{88502860-9557-4BD7-BA4C-A0E96482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6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66D9"/>
  </w:style>
  <w:style w:type="character" w:customStyle="1" w:styleId="a4">
    <w:name w:val="Основной текст с отступом Знак"/>
    <w:basedOn w:val="a0"/>
    <w:link w:val="a3"/>
    <w:rsid w:val="000166D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016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1</cp:revision>
  <dcterms:created xsi:type="dcterms:W3CDTF">2023-02-23T09:02:00Z</dcterms:created>
  <dcterms:modified xsi:type="dcterms:W3CDTF">2023-02-23T11:08:00Z</dcterms:modified>
</cp:coreProperties>
</file>