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348" w:rsidRPr="003706F8" w:rsidRDefault="00F41348" w:rsidP="007B527B">
      <w:pPr>
        <w:ind w:firstLine="567"/>
        <w:jc w:val="center"/>
        <w:rPr>
          <w:rFonts w:ascii="Times New Roman" w:hAnsi="Times New Roman" w:cs="Times New Roman"/>
          <w:sz w:val="28"/>
          <w:szCs w:val="28"/>
          <w:lang w:val="uk-UA"/>
        </w:rPr>
      </w:pPr>
      <w:r w:rsidRPr="007B527B">
        <w:rPr>
          <w:rFonts w:ascii="Times New Roman" w:hAnsi="Times New Roman" w:cs="Times New Roman"/>
          <w:sz w:val="28"/>
          <w:szCs w:val="28"/>
        </w:rPr>
        <w:t xml:space="preserve">ЛАБОРАТОРНА РОБОТА </w:t>
      </w:r>
      <w:r w:rsidR="003E0CA4">
        <w:rPr>
          <w:rFonts w:ascii="Times New Roman" w:hAnsi="Times New Roman" w:cs="Times New Roman"/>
          <w:sz w:val="28"/>
          <w:szCs w:val="28"/>
          <w:lang w:val="uk-UA"/>
        </w:rPr>
        <w:t>6</w:t>
      </w:r>
      <w:bookmarkStart w:id="0" w:name="_GoBack"/>
      <w:bookmarkEnd w:id="0"/>
    </w:p>
    <w:p w:rsidR="00F41348" w:rsidRPr="007B527B" w:rsidRDefault="00F41348" w:rsidP="007B527B">
      <w:pPr>
        <w:spacing w:line="240" w:lineRule="auto"/>
        <w:ind w:firstLine="567"/>
        <w:jc w:val="center"/>
        <w:outlineLvl w:val="0"/>
        <w:rPr>
          <w:rFonts w:ascii="Times New Roman" w:eastAsia="Times New Roman" w:hAnsi="Times New Roman" w:cs="Times New Roman"/>
          <w:b/>
          <w:bCs/>
          <w:color w:val="402A18"/>
          <w:kern w:val="36"/>
          <w:sz w:val="28"/>
          <w:szCs w:val="28"/>
          <w:lang w:eastAsia="ru-RU"/>
        </w:rPr>
      </w:pPr>
      <w:r w:rsidRPr="007B527B">
        <w:rPr>
          <w:rFonts w:ascii="Times New Roman" w:eastAsia="Times New Roman" w:hAnsi="Times New Roman" w:cs="Times New Roman"/>
          <w:b/>
          <w:bCs/>
          <w:color w:val="402A18"/>
          <w:kern w:val="36"/>
          <w:sz w:val="28"/>
          <w:szCs w:val="28"/>
          <w:lang w:eastAsia="ru-RU"/>
        </w:rPr>
        <w:t>МЕТОДИ ОЦІНКИ РИЗИКУ ТА ЕФЕКТИВНОСТІ УПРАВЛІННЯ ПОРТФЕЛЕМ ЦІННИХ ПАПЕРІВ БАНКУ</w:t>
      </w:r>
    </w:p>
    <w:p w:rsidR="00F41348" w:rsidRPr="007B527B" w:rsidRDefault="00F41348" w:rsidP="007B527B">
      <w:pPr>
        <w:spacing w:line="240" w:lineRule="auto"/>
        <w:ind w:firstLine="567"/>
        <w:jc w:val="center"/>
        <w:outlineLvl w:val="0"/>
        <w:rPr>
          <w:rFonts w:ascii="Times New Roman" w:eastAsia="Times New Roman" w:hAnsi="Times New Roman" w:cs="Times New Roman"/>
          <w:b/>
          <w:bCs/>
          <w:color w:val="402A18"/>
          <w:kern w:val="36"/>
          <w:sz w:val="28"/>
          <w:szCs w:val="28"/>
          <w:lang w:eastAsia="ru-RU"/>
        </w:rPr>
      </w:pPr>
    </w:p>
    <w:p w:rsidR="00F41348" w:rsidRPr="00F41348" w:rsidRDefault="00F41348" w:rsidP="007B527B">
      <w:pPr>
        <w:spacing w:line="240" w:lineRule="auto"/>
        <w:ind w:firstLine="567"/>
        <w:jc w:val="center"/>
        <w:outlineLvl w:val="0"/>
        <w:rPr>
          <w:rFonts w:ascii="Times New Roman" w:eastAsia="Times New Roman" w:hAnsi="Times New Roman" w:cs="Times New Roman"/>
          <w:b/>
          <w:bCs/>
          <w:color w:val="402A18"/>
          <w:kern w:val="36"/>
          <w:sz w:val="28"/>
          <w:szCs w:val="28"/>
          <w:lang w:val="uk-UA" w:eastAsia="ru-RU"/>
        </w:rPr>
      </w:pPr>
      <w:r w:rsidRPr="007B527B">
        <w:rPr>
          <w:rFonts w:ascii="Times New Roman" w:eastAsia="Times New Roman" w:hAnsi="Times New Roman" w:cs="Times New Roman"/>
          <w:b/>
          <w:bCs/>
          <w:color w:val="402A18"/>
          <w:kern w:val="36"/>
          <w:sz w:val="28"/>
          <w:szCs w:val="28"/>
          <w:lang w:eastAsia="ru-RU"/>
        </w:rPr>
        <w:t>Теоретичн</w:t>
      </w:r>
      <w:r w:rsidR="00CE3E82" w:rsidRPr="007B527B">
        <w:rPr>
          <w:rFonts w:ascii="Times New Roman" w:eastAsia="Times New Roman" w:hAnsi="Times New Roman" w:cs="Times New Roman"/>
          <w:b/>
          <w:bCs/>
          <w:color w:val="402A18"/>
          <w:kern w:val="36"/>
          <w:sz w:val="28"/>
          <w:szCs w:val="28"/>
          <w:lang w:val="uk-UA" w:eastAsia="ru-RU"/>
        </w:rPr>
        <w:t>і</w:t>
      </w:r>
      <w:r w:rsidRPr="007B527B">
        <w:rPr>
          <w:rFonts w:ascii="Times New Roman" w:eastAsia="Times New Roman" w:hAnsi="Times New Roman" w:cs="Times New Roman"/>
          <w:b/>
          <w:bCs/>
          <w:color w:val="402A18"/>
          <w:kern w:val="36"/>
          <w:sz w:val="28"/>
          <w:szCs w:val="28"/>
          <w:lang w:eastAsia="ru-RU"/>
        </w:rPr>
        <w:t xml:space="preserve"> в</w:t>
      </w:r>
      <w:r w:rsidR="00CE3E82" w:rsidRPr="007B527B">
        <w:rPr>
          <w:rFonts w:ascii="Times New Roman" w:eastAsia="Times New Roman" w:hAnsi="Times New Roman" w:cs="Times New Roman"/>
          <w:b/>
          <w:bCs/>
          <w:color w:val="402A18"/>
          <w:kern w:val="36"/>
          <w:sz w:val="28"/>
          <w:szCs w:val="28"/>
          <w:lang w:val="uk-UA" w:eastAsia="ru-RU"/>
        </w:rPr>
        <w:t>і</w:t>
      </w:r>
      <w:r w:rsidRPr="007B527B">
        <w:rPr>
          <w:rFonts w:ascii="Times New Roman" w:eastAsia="Times New Roman" w:hAnsi="Times New Roman" w:cs="Times New Roman"/>
          <w:b/>
          <w:bCs/>
          <w:color w:val="402A18"/>
          <w:kern w:val="36"/>
          <w:sz w:val="28"/>
          <w:szCs w:val="28"/>
          <w:lang w:eastAsia="ru-RU"/>
        </w:rPr>
        <w:t>домост</w:t>
      </w:r>
      <w:r w:rsidR="00CE3E82" w:rsidRPr="007B527B">
        <w:rPr>
          <w:rFonts w:ascii="Times New Roman" w:eastAsia="Times New Roman" w:hAnsi="Times New Roman" w:cs="Times New Roman"/>
          <w:b/>
          <w:bCs/>
          <w:color w:val="402A18"/>
          <w:kern w:val="36"/>
          <w:sz w:val="28"/>
          <w:szCs w:val="28"/>
          <w:lang w:val="uk-UA" w:eastAsia="ru-RU"/>
        </w:rPr>
        <w:t>і</w:t>
      </w:r>
    </w:p>
    <w:p w:rsidR="007B527B" w:rsidRDefault="00F41348" w:rsidP="00F33837">
      <w:pPr>
        <w:spacing w:after="0" w:line="240" w:lineRule="auto"/>
        <w:ind w:firstLine="567"/>
        <w:jc w:val="both"/>
        <w:rPr>
          <w:rFonts w:ascii="Times New Roman" w:hAnsi="Times New Roman" w:cs="Times New Roman"/>
          <w:color w:val="281F18"/>
          <w:sz w:val="28"/>
          <w:szCs w:val="28"/>
          <w:shd w:val="clear" w:color="auto" w:fill="FFFFFF"/>
        </w:rPr>
      </w:pPr>
      <w:r w:rsidRPr="007B527B">
        <w:rPr>
          <w:rFonts w:ascii="Times New Roman" w:hAnsi="Times New Roman" w:cs="Times New Roman"/>
          <w:color w:val="281F18"/>
          <w:sz w:val="28"/>
          <w:szCs w:val="28"/>
          <w:shd w:val="clear" w:color="auto" w:fill="FFFFFF"/>
        </w:rPr>
        <w:t xml:space="preserve">Портфель цінних паперів — це сукупність зібраних разом різних фінансових цінностей, які є інструментом для досягнення конкретної мети інвестора. </w:t>
      </w:r>
      <w:proofErr w:type="gramStart"/>
      <w:r w:rsidRPr="007B527B">
        <w:rPr>
          <w:rFonts w:ascii="Times New Roman" w:hAnsi="Times New Roman" w:cs="Times New Roman"/>
          <w:color w:val="281F18"/>
          <w:sz w:val="28"/>
          <w:szCs w:val="28"/>
          <w:shd w:val="clear" w:color="auto" w:fill="FFFFFF"/>
        </w:rPr>
        <w:t>У портфель</w:t>
      </w:r>
      <w:proofErr w:type="gramEnd"/>
      <w:r w:rsidRPr="007B527B">
        <w:rPr>
          <w:rFonts w:ascii="Times New Roman" w:hAnsi="Times New Roman" w:cs="Times New Roman"/>
          <w:color w:val="281F18"/>
          <w:sz w:val="28"/>
          <w:szCs w:val="28"/>
          <w:shd w:val="clear" w:color="auto" w:fill="FFFFFF"/>
        </w:rPr>
        <w:t xml:space="preserve"> можуть входити цінні папери одного типу (акції) або різні інвестиційні цінності (акції, облігації, депозитні сертифікати тощо).</w:t>
      </w:r>
    </w:p>
    <w:p w:rsidR="002F4481" w:rsidRPr="002F4481" w:rsidRDefault="00F41348" w:rsidP="00F33837">
      <w:pPr>
        <w:spacing w:after="0" w:line="240" w:lineRule="auto"/>
        <w:ind w:firstLine="567"/>
        <w:jc w:val="both"/>
        <w:rPr>
          <w:rFonts w:ascii="Times New Roman" w:hAnsi="Times New Roman" w:cs="Times New Roman"/>
          <w:color w:val="C00000"/>
          <w:sz w:val="28"/>
          <w:szCs w:val="28"/>
          <w:shd w:val="clear" w:color="auto" w:fill="FFFFFF"/>
        </w:rPr>
      </w:pPr>
      <w:r w:rsidRPr="007B527B">
        <w:rPr>
          <w:rFonts w:ascii="Times New Roman" w:hAnsi="Times New Roman" w:cs="Times New Roman"/>
          <w:color w:val="281F18"/>
          <w:sz w:val="28"/>
          <w:szCs w:val="28"/>
          <w:shd w:val="clear" w:color="auto" w:fill="FFFFFF"/>
        </w:rPr>
        <w:t>Головною метою формування портфелю цінних паперів є забезпечення реалізації основних напрямків політики фінансового інвестування підприємства шляхом підбору найбільш прибуткових і безпечних фінансових інструментів.</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Слід зазначити, що портфелі цінних паперів можна класифікувати за наступними ознаками:</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 xml:space="preserve">1. </w:t>
      </w:r>
      <w:r w:rsidRPr="002F4481">
        <w:rPr>
          <w:rFonts w:ascii="Times New Roman" w:hAnsi="Times New Roman" w:cs="Times New Roman"/>
          <w:color w:val="C00000"/>
          <w:sz w:val="28"/>
          <w:szCs w:val="28"/>
          <w:shd w:val="clear" w:color="auto" w:fill="FFFFFF"/>
        </w:rPr>
        <w:t>За цілями формування інвестиційного прибутку розрізняють два основних типи інвестиційного портфеля — доходу і зростання.</w:t>
      </w:r>
    </w:p>
    <w:p w:rsidR="002F4481" w:rsidRDefault="00F41348" w:rsidP="00F33837">
      <w:pPr>
        <w:spacing w:after="0" w:line="240" w:lineRule="auto"/>
        <w:ind w:firstLine="567"/>
        <w:jc w:val="both"/>
        <w:rPr>
          <w:rFonts w:ascii="Times New Roman" w:hAnsi="Times New Roman" w:cs="Times New Roman"/>
          <w:color w:val="281F18"/>
          <w:sz w:val="28"/>
          <w:szCs w:val="28"/>
          <w:shd w:val="clear" w:color="auto" w:fill="FFFFFF"/>
        </w:rPr>
      </w:pPr>
      <w:r w:rsidRPr="002F4481">
        <w:rPr>
          <w:rFonts w:ascii="Times New Roman" w:hAnsi="Times New Roman" w:cs="Times New Roman"/>
          <w:b/>
          <w:color w:val="281F18"/>
          <w:sz w:val="28"/>
          <w:szCs w:val="28"/>
          <w:shd w:val="clear" w:color="auto" w:fill="FFFFFF"/>
        </w:rPr>
        <w:t>Портфель доходу</w:t>
      </w:r>
      <w:r w:rsidRPr="007B527B">
        <w:rPr>
          <w:rFonts w:ascii="Times New Roman" w:hAnsi="Times New Roman" w:cs="Times New Roman"/>
          <w:color w:val="281F18"/>
          <w:sz w:val="28"/>
          <w:szCs w:val="28"/>
          <w:shd w:val="clear" w:color="auto" w:fill="FFFFFF"/>
        </w:rPr>
        <w:t xml:space="preserve"> — це інвестиційний портфель, сформований за критерієм максимізації рівня інвестиційного прибутку в поточному періоді незалежно від темпів приросту інвестованого капіталу в довгостроковій перспективі. Іншими словами, цей портфель орієнтований на високу поточну віддачу інвестиційних витрат, незважаючи на те, що в майбутньому періоді ці витрати могли б забезпечити отримання більш високої норми інвестиційного прибутку на вкладений капітал.</w:t>
      </w:r>
    </w:p>
    <w:p w:rsidR="002F4481" w:rsidRDefault="00F41348" w:rsidP="00F33837">
      <w:pPr>
        <w:spacing w:after="0" w:line="240" w:lineRule="auto"/>
        <w:ind w:firstLine="567"/>
        <w:jc w:val="both"/>
        <w:rPr>
          <w:rFonts w:ascii="Times New Roman" w:hAnsi="Times New Roman" w:cs="Times New Roman"/>
          <w:color w:val="281F18"/>
          <w:sz w:val="28"/>
          <w:szCs w:val="28"/>
          <w:shd w:val="clear" w:color="auto" w:fill="FFFFFF"/>
        </w:rPr>
      </w:pPr>
      <w:r w:rsidRPr="002F4481">
        <w:rPr>
          <w:rFonts w:ascii="Times New Roman" w:hAnsi="Times New Roman" w:cs="Times New Roman"/>
          <w:b/>
          <w:color w:val="281F18"/>
          <w:sz w:val="28"/>
          <w:szCs w:val="28"/>
          <w:shd w:val="clear" w:color="auto" w:fill="FFFFFF"/>
        </w:rPr>
        <w:t>Портфель зростання</w:t>
      </w:r>
      <w:r w:rsidRPr="007B527B">
        <w:rPr>
          <w:rFonts w:ascii="Times New Roman" w:hAnsi="Times New Roman" w:cs="Times New Roman"/>
          <w:color w:val="281F18"/>
          <w:sz w:val="28"/>
          <w:szCs w:val="28"/>
          <w:shd w:val="clear" w:color="auto" w:fill="FFFFFF"/>
        </w:rPr>
        <w:t xml:space="preserve"> — це інвестиційний портфель, сформований за критерієм максимізації темпів приросту інвестованого капіталу в майбутній довгостроковій перспективі незалежно від рівня формування інвестиційного прибутку в поточному періоді. Цей портфель орієнтований на забезпечення високих темпів зростання ринкової вартості підприємства (за рахунок приросту капіталу в процесі фінансового інвестування), оскільки норма прибутку за довгострокового фінансового інвестування завжди вища, ніж за короткострокового.</w:t>
      </w:r>
    </w:p>
    <w:p w:rsidR="002F4481" w:rsidRPr="002F4481" w:rsidRDefault="00F41348" w:rsidP="00F33837">
      <w:pPr>
        <w:spacing w:after="0" w:line="240" w:lineRule="auto"/>
        <w:ind w:firstLine="567"/>
        <w:jc w:val="both"/>
        <w:rPr>
          <w:rFonts w:ascii="Times New Roman" w:hAnsi="Times New Roman" w:cs="Times New Roman"/>
          <w:color w:val="C00000"/>
          <w:sz w:val="28"/>
          <w:szCs w:val="28"/>
          <w:shd w:val="clear" w:color="auto" w:fill="FFFFFF"/>
        </w:rPr>
      </w:pPr>
      <w:r w:rsidRPr="007B527B">
        <w:rPr>
          <w:rFonts w:ascii="Times New Roman" w:hAnsi="Times New Roman" w:cs="Times New Roman"/>
          <w:color w:val="281F18"/>
          <w:sz w:val="28"/>
          <w:szCs w:val="28"/>
          <w:shd w:val="clear" w:color="auto" w:fill="FFFFFF"/>
        </w:rPr>
        <w:t xml:space="preserve">2. </w:t>
      </w:r>
      <w:r w:rsidRPr="002F4481">
        <w:rPr>
          <w:rFonts w:ascii="Times New Roman" w:hAnsi="Times New Roman" w:cs="Times New Roman"/>
          <w:color w:val="C00000"/>
          <w:sz w:val="28"/>
          <w:szCs w:val="28"/>
          <w:shd w:val="clear" w:color="auto" w:fill="FFFFFF"/>
        </w:rPr>
        <w:t>За відношенням до інвестиційних ризиків розрізнюють три основних типи інвестиційного портфеля — агресивний; помірний (компромісний) і консервативний. Така типізація портфелів заснована на диференціації рівня інвестиційного ризику, на який згоден іти конкретний інвестор у процесі фінансового інвестування.</w:t>
      </w:r>
    </w:p>
    <w:p w:rsidR="002F4481" w:rsidRDefault="00F41348" w:rsidP="00F33837">
      <w:pPr>
        <w:spacing w:after="0" w:line="240" w:lineRule="auto"/>
        <w:ind w:firstLine="567"/>
        <w:jc w:val="both"/>
        <w:rPr>
          <w:rFonts w:ascii="Times New Roman" w:hAnsi="Times New Roman" w:cs="Times New Roman"/>
          <w:color w:val="281F18"/>
          <w:sz w:val="28"/>
          <w:szCs w:val="28"/>
          <w:shd w:val="clear" w:color="auto" w:fill="FFFFFF"/>
        </w:rPr>
      </w:pPr>
      <w:r w:rsidRPr="007B527B">
        <w:rPr>
          <w:rFonts w:ascii="Times New Roman" w:hAnsi="Times New Roman" w:cs="Times New Roman"/>
          <w:color w:val="281F18"/>
          <w:sz w:val="28"/>
          <w:szCs w:val="28"/>
          <w:shd w:val="clear" w:color="auto" w:fill="FFFFFF"/>
        </w:rPr>
        <w:t>Під час формування агресивного (ризикованого) портфелю, який націлений переважно на отримання доходу від приросту курсової вартості цінних паперів (в основному акцій), у інвестора ступінь ризику найбільша. Отже, такий інвестор прагне отримати найбільшу доходність у найризикованіші фінансові активи.</w:t>
      </w:r>
    </w:p>
    <w:p w:rsidR="002F4481" w:rsidRDefault="00F41348" w:rsidP="00F33837">
      <w:pPr>
        <w:spacing w:after="0" w:line="240" w:lineRule="auto"/>
        <w:ind w:firstLine="567"/>
        <w:jc w:val="both"/>
        <w:rPr>
          <w:rFonts w:ascii="Times New Roman" w:hAnsi="Times New Roman" w:cs="Times New Roman"/>
          <w:color w:val="281F18"/>
          <w:sz w:val="28"/>
          <w:szCs w:val="28"/>
          <w:shd w:val="clear" w:color="auto" w:fill="FFFFFF"/>
        </w:rPr>
      </w:pPr>
      <w:r w:rsidRPr="007B527B">
        <w:rPr>
          <w:rFonts w:ascii="Times New Roman" w:hAnsi="Times New Roman" w:cs="Times New Roman"/>
          <w:color w:val="281F18"/>
          <w:sz w:val="28"/>
          <w:szCs w:val="28"/>
          <w:shd w:val="clear" w:color="auto" w:fill="FFFFFF"/>
        </w:rPr>
        <w:t>Під час формування поміркованого (ринкового) портфелю дохід у інвестора буде складатися з приросту курсової вартості, відсотків за державними цінними паперами, а також з дивідендних виплат.</w:t>
      </w:r>
    </w:p>
    <w:p w:rsidR="002F4481" w:rsidRDefault="00F41348" w:rsidP="00F33837">
      <w:pPr>
        <w:spacing w:after="0" w:line="240" w:lineRule="auto"/>
        <w:ind w:firstLine="567"/>
        <w:jc w:val="both"/>
        <w:rPr>
          <w:rFonts w:ascii="Times New Roman" w:hAnsi="Times New Roman" w:cs="Times New Roman"/>
          <w:color w:val="281F18"/>
          <w:sz w:val="28"/>
          <w:szCs w:val="28"/>
          <w:shd w:val="clear" w:color="auto" w:fill="FFFFFF"/>
        </w:rPr>
      </w:pPr>
      <w:r w:rsidRPr="007B527B">
        <w:rPr>
          <w:rFonts w:ascii="Times New Roman" w:hAnsi="Times New Roman" w:cs="Times New Roman"/>
          <w:color w:val="281F18"/>
          <w:sz w:val="28"/>
          <w:szCs w:val="28"/>
          <w:shd w:val="clear" w:color="auto" w:fill="FFFFFF"/>
        </w:rPr>
        <w:t>Консервативний портфель формується переважно з державних облігацій. Інвестор, який формує такий портфель зацікавлений в отриманні стабільного доходу протягом тривалого часу, який компенсується високою надійністю.</w:t>
      </w:r>
    </w:p>
    <w:p w:rsidR="00F33837" w:rsidRDefault="00F41348" w:rsidP="00F33837">
      <w:pPr>
        <w:spacing w:after="0" w:line="240" w:lineRule="auto"/>
        <w:ind w:firstLine="567"/>
        <w:jc w:val="both"/>
        <w:rPr>
          <w:rFonts w:ascii="Times New Roman" w:hAnsi="Times New Roman" w:cs="Times New Roman"/>
          <w:color w:val="281F18"/>
          <w:sz w:val="28"/>
          <w:szCs w:val="28"/>
          <w:shd w:val="clear" w:color="auto" w:fill="FFFFFF"/>
        </w:rPr>
      </w:pP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 xml:space="preserve">Виходячи з цих основних типів інвестиційних портфелів, формуються різні їх варіанти, які </w:t>
      </w:r>
      <w:r w:rsidRPr="007B527B">
        <w:rPr>
          <w:rFonts w:ascii="Times New Roman" w:hAnsi="Times New Roman" w:cs="Times New Roman"/>
          <w:color w:val="281F18"/>
          <w:sz w:val="28"/>
          <w:szCs w:val="28"/>
          <w:shd w:val="clear" w:color="auto" w:fill="FFFFFF"/>
        </w:rPr>
        <w:lastRenderedPageBreak/>
        <w:t>використовуються під час реалізації політики фінансового інвестування підприємства. Такими основними варіантами типів інвестиційних портфелів є:</w:t>
      </w:r>
    </w:p>
    <w:p w:rsidR="00455EB3" w:rsidRDefault="00F41348" w:rsidP="00455EB3">
      <w:pPr>
        <w:spacing w:after="0" w:line="240" w:lineRule="auto"/>
        <w:ind w:firstLine="567"/>
        <w:rPr>
          <w:rFonts w:ascii="Times New Roman" w:hAnsi="Times New Roman" w:cs="Times New Roman"/>
          <w:color w:val="281F18"/>
          <w:sz w:val="28"/>
          <w:szCs w:val="28"/>
          <w:shd w:val="clear" w:color="auto" w:fill="FFFFFF"/>
        </w:rPr>
      </w:pP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1) агресивний портфель доходу;</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2) агресивний портфель зростання;</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3) помірний портфель доходу;</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4) помірний портфель зростання;</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5) консервативний портфель доходу;</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6) консервативний портфель зростання.</w:t>
      </w:r>
    </w:p>
    <w:p w:rsidR="00717D6A" w:rsidRDefault="00F41348" w:rsidP="00F33837">
      <w:pPr>
        <w:spacing w:after="0" w:line="240" w:lineRule="auto"/>
        <w:ind w:firstLine="567"/>
        <w:jc w:val="both"/>
        <w:rPr>
          <w:rFonts w:ascii="Times New Roman" w:hAnsi="Times New Roman" w:cs="Times New Roman"/>
          <w:color w:val="281F18"/>
          <w:sz w:val="28"/>
          <w:szCs w:val="28"/>
          <w:shd w:val="clear" w:color="auto" w:fill="FFFFFF"/>
          <w:lang w:val="uk-UA"/>
        </w:rPr>
      </w:pP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Діапазон інвестиційних портфелів може бути розширений ще більшою мірою за рахунок їх проміжних варіантів.</w:t>
      </w:r>
      <w:r w:rsidR="00F33837">
        <w:rPr>
          <w:rFonts w:ascii="Times New Roman" w:hAnsi="Times New Roman" w:cs="Times New Roman"/>
          <w:color w:val="281F18"/>
          <w:sz w:val="28"/>
          <w:szCs w:val="28"/>
          <w:shd w:val="clear" w:color="auto" w:fill="FFFFFF"/>
          <w:lang w:val="uk-UA"/>
        </w:rPr>
        <w:t xml:space="preserve"> </w:t>
      </w:r>
    </w:p>
    <w:p w:rsidR="00F33837" w:rsidRDefault="00F41348" w:rsidP="00F33837">
      <w:pPr>
        <w:spacing w:after="0" w:line="240" w:lineRule="auto"/>
        <w:ind w:firstLine="567"/>
        <w:jc w:val="both"/>
        <w:rPr>
          <w:rFonts w:ascii="Times New Roman" w:hAnsi="Times New Roman" w:cs="Times New Roman"/>
          <w:color w:val="281F18"/>
          <w:sz w:val="28"/>
          <w:szCs w:val="28"/>
          <w:shd w:val="clear" w:color="auto" w:fill="FFFFFF"/>
        </w:rPr>
      </w:pPr>
      <w:r w:rsidRPr="007B527B">
        <w:rPr>
          <w:rFonts w:ascii="Times New Roman" w:hAnsi="Times New Roman" w:cs="Times New Roman"/>
          <w:color w:val="281F18"/>
          <w:sz w:val="28"/>
          <w:szCs w:val="28"/>
          <w:shd w:val="clear" w:color="auto" w:fill="FFFFFF"/>
        </w:rPr>
        <w:t>Під час формування портфеля цінних паперів інвестори повинні чітко сформувати свою стратегію управління.</w:t>
      </w:r>
      <w:r w:rsidR="00F33837">
        <w:rPr>
          <w:rFonts w:ascii="Times New Roman" w:hAnsi="Times New Roman" w:cs="Times New Roman"/>
          <w:color w:val="281F18"/>
          <w:sz w:val="28"/>
          <w:szCs w:val="28"/>
          <w:shd w:val="clear" w:color="auto" w:fill="FFFFFF"/>
          <w:lang w:val="uk-UA"/>
        </w:rPr>
        <w:t xml:space="preserve"> </w:t>
      </w:r>
      <w:r w:rsidRPr="007B527B">
        <w:rPr>
          <w:rFonts w:ascii="Times New Roman" w:hAnsi="Times New Roman" w:cs="Times New Roman"/>
          <w:color w:val="281F18"/>
          <w:sz w:val="28"/>
          <w:szCs w:val="28"/>
          <w:shd w:val="clear" w:color="auto" w:fill="FFFFFF"/>
        </w:rPr>
        <w:t>Стратегічне управління під час формування портфеля цінних паперів передбачає виконання таких функцій:</w:t>
      </w:r>
    </w:p>
    <w:p w:rsidR="00F33837" w:rsidRDefault="00F41348" w:rsidP="00F33837">
      <w:pPr>
        <w:spacing w:after="0" w:line="240" w:lineRule="auto"/>
        <w:ind w:firstLine="567"/>
        <w:rPr>
          <w:rFonts w:ascii="Times New Roman" w:hAnsi="Times New Roman" w:cs="Times New Roman"/>
          <w:color w:val="281F18"/>
          <w:sz w:val="28"/>
          <w:szCs w:val="28"/>
          <w:shd w:val="clear" w:color="auto" w:fill="FFFFFF"/>
        </w:rPr>
      </w:pP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 xml:space="preserve">- оцінку інвестиційної привабливості </w:t>
      </w:r>
      <w:proofErr w:type="gramStart"/>
      <w:r w:rsidRPr="007B527B">
        <w:rPr>
          <w:rFonts w:ascii="Times New Roman" w:hAnsi="Times New Roman" w:cs="Times New Roman"/>
          <w:color w:val="281F18"/>
          <w:sz w:val="28"/>
          <w:szCs w:val="28"/>
          <w:shd w:val="clear" w:color="auto" w:fill="FFFFFF"/>
        </w:rPr>
        <w:t>активів;</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w:t>
      </w:r>
      <w:proofErr w:type="gramEnd"/>
      <w:r w:rsidRPr="007B527B">
        <w:rPr>
          <w:rFonts w:ascii="Times New Roman" w:hAnsi="Times New Roman" w:cs="Times New Roman"/>
          <w:color w:val="281F18"/>
          <w:sz w:val="28"/>
          <w:szCs w:val="28"/>
          <w:shd w:val="clear" w:color="auto" w:fill="FFFFFF"/>
        </w:rPr>
        <w:t xml:space="preserve"> розробку рейтингів, прогнозування стану ринку в цілому, а також його сегментів у галузевому й регіональному розрізах;</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 аналіз ринку альтернативних вкладень;</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 аналіз ринкового середовища, сильних і слабких сторін основних конкурентів, їхньої частки на ринку;</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 пошук нових можливостей, аналіз потреб потенційних клієнтів;</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 динамічне спостереження за кон'юнктурою ринку.</w:t>
      </w:r>
    </w:p>
    <w:p w:rsidR="00F33837" w:rsidRDefault="00F41348" w:rsidP="00F33837">
      <w:pPr>
        <w:spacing w:after="0" w:line="240" w:lineRule="auto"/>
        <w:ind w:firstLine="567"/>
        <w:jc w:val="both"/>
        <w:rPr>
          <w:rFonts w:ascii="Times New Roman" w:hAnsi="Times New Roman" w:cs="Times New Roman"/>
          <w:noProof/>
          <w:sz w:val="28"/>
          <w:szCs w:val="28"/>
          <w:lang w:eastAsia="ru-RU"/>
        </w:rPr>
      </w:pP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Можна виділити основні типи інвестиційних стратегій.</w:t>
      </w:r>
      <w:r w:rsidRPr="007B527B">
        <w:rPr>
          <w:rFonts w:ascii="Times New Roman" w:hAnsi="Times New Roman" w:cs="Times New Roman"/>
          <w:color w:val="281F18"/>
          <w:sz w:val="28"/>
          <w:szCs w:val="28"/>
        </w:rPr>
        <w:br/>
      </w:r>
      <w:r w:rsidRPr="007B527B">
        <w:rPr>
          <w:rFonts w:ascii="Times New Roman" w:hAnsi="Times New Roman" w:cs="Times New Roman"/>
          <w:color w:val="281F18"/>
          <w:sz w:val="28"/>
          <w:szCs w:val="28"/>
          <w:shd w:val="clear" w:color="auto" w:fill="FFFFFF"/>
        </w:rPr>
        <w:t>Стратегія ефективного власника базується на тому, що інвестор одержує не тільки доступ до певних видів продукції та забезпечення контролю над фінансовими потоками. Його місія полягає також і в підвищенні науково- технічного й виробничо-збутового потенціалу, фінансовому оздоровленні підприємства. Основний доход інвестора є довгостроковим і утворюється в результаті господарської діяльності підприємства. Тому для здійснення цієї стратегії необхідні значні ресурси не тільки на придбання контрольного пакету акцій, але й на розвиток емітента. Коли підприємство стане високорентабельним і його акції зростуть у ціні, інвестор матиме можливість продати свій пакет і одержати значні прибутки. Саме цю стратегію обирають венчурні фонди для фінансування інноваційного бізнесу.</w:t>
      </w:r>
      <w:r w:rsidR="00CE3E82" w:rsidRPr="007B527B">
        <w:rPr>
          <w:rFonts w:ascii="Times New Roman" w:hAnsi="Times New Roman" w:cs="Times New Roman"/>
          <w:noProof/>
          <w:sz w:val="28"/>
          <w:szCs w:val="28"/>
          <w:lang w:eastAsia="ru-RU"/>
        </w:rPr>
        <w:t xml:space="preserve"> </w:t>
      </w:r>
    </w:p>
    <w:p w:rsidR="00717D6A" w:rsidRPr="00717D6A" w:rsidRDefault="00717D6A" w:rsidP="00717D6A">
      <w:pPr>
        <w:spacing w:after="0" w:line="240" w:lineRule="auto"/>
        <w:ind w:firstLine="709"/>
        <w:jc w:val="both"/>
        <w:rPr>
          <w:rFonts w:ascii="Times New Roman" w:eastAsia="Times New Roman" w:hAnsi="Times New Roman" w:cs="Times New Roman"/>
          <w:color w:val="402A18"/>
          <w:sz w:val="28"/>
          <w:szCs w:val="28"/>
          <w:lang w:eastAsia="ru-RU"/>
        </w:rPr>
      </w:pPr>
      <w:r w:rsidRPr="00717D6A">
        <w:rPr>
          <w:rFonts w:ascii="Times New Roman" w:eastAsia="Times New Roman" w:hAnsi="Times New Roman" w:cs="Times New Roman"/>
          <w:color w:val="402A18"/>
          <w:sz w:val="28"/>
          <w:szCs w:val="28"/>
          <w:lang w:eastAsia="ru-RU"/>
        </w:rPr>
        <w:t>Дохідність — це відносний показник, який у загальному випадку обчислюють діленням доходів на суму інвестиції. Дохідність портфеля цінних паперів, на відміну від його ризику, є адитивною величиною.</w:t>
      </w:r>
    </w:p>
    <w:p w:rsidR="00717D6A" w:rsidRPr="00717D6A" w:rsidRDefault="00717D6A" w:rsidP="00717D6A">
      <w:pPr>
        <w:spacing w:after="0" w:line="240" w:lineRule="auto"/>
        <w:jc w:val="both"/>
        <w:rPr>
          <w:rFonts w:ascii="Times New Roman" w:hAnsi="Times New Roman" w:cs="Times New Roman"/>
          <w:i/>
          <w:iCs/>
          <w:color w:val="000000"/>
          <w:sz w:val="28"/>
          <w:szCs w:val="28"/>
          <w:shd w:val="clear" w:color="auto" w:fill="FFFFFF"/>
        </w:rPr>
      </w:pPr>
    </w:p>
    <w:p w:rsidR="00717D6A" w:rsidRPr="00717D6A" w:rsidRDefault="00717D6A" w:rsidP="00717D6A">
      <w:pPr>
        <w:spacing w:after="0" w:line="240" w:lineRule="auto"/>
        <w:jc w:val="both"/>
        <w:rPr>
          <w:rFonts w:ascii="Times New Roman" w:hAnsi="Times New Roman" w:cs="Times New Roman"/>
          <w:i/>
          <w:iCs/>
          <w:color w:val="000000"/>
          <w:sz w:val="28"/>
          <w:szCs w:val="28"/>
          <w:shd w:val="clear" w:color="auto" w:fill="FFFFFF"/>
        </w:rPr>
      </w:pPr>
    </w:p>
    <w:p w:rsidR="00717D6A" w:rsidRPr="00717D6A" w:rsidRDefault="00717D6A" w:rsidP="00717D6A">
      <w:pPr>
        <w:spacing w:after="0" w:line="240" w:lineRule="auto"/>
        <w:jc w:val="both"/>
        <w:rPr>
          <w:rFonts w:ascii="Times New Roman" w:hAnsi="Times New Roman" w:cs="Times New Roman"/>
          <w:i/>
          <w:iCs/>
          <w:color w:val="000000"/>
          <w:sz w:val="24"/>
          <w:szCs w:val="24"/>
          <w:shd w:val="clear" w:color="auto" w:fill="FFFFFF"/>
        </w:rPr>
      </w:pPr>
      <m:oMathPara>
        <m:oMath>
          <m:r>
            <w:rPr>
              <w:rFonts w:ascii="Cambria Math" w:hAnsi="Cambria Math" w:cs="Times New Roman"/>
              <w:color w:val="000000"/>
              <w:sz w:val="24"/>
              <w:szCs w:val="24"/>
              <w:shd w:val="clear" w:color="auto" w:fill="FFFFFF"/>
              <w:lang w:val="uk-UA"/>
            </w:rPr>
            <m:t>Доходність</m:t>
          </m:r>
          <m:r>
            <w:rPr>
              <w:rFonts w:ascii="Cambria Math" w:hAnsi="Cambria Math" w:cs="Times New Roman"/>
              <w:color w:val="000000"/>
              <w:sz w:val="24"/>
              <w:szCs w:val="24"/>
              <w:shd w:val="clear" w:color="auto" w:fill="FFFFFF"/>
            </w:rPr>
            <m:t xml:space="preserve"> портфеля= =</m:t>
          </m:r>
          <m:f>
            <m:fPr>
              <m:ctrlPr>
                <w:rPr>
                  <w:rFonts w:ascii="Cambria Math" w:hAnsi="Cambria Math" w:cs="Times New Roman"/>
                  <w:i/>
                  <w:iCs/>
                  <w:color w:val="000000"/>
                  <w:sz w:val="24"/>
                  <w:szCs w:val="24"/>
                  <w:shd w:val="clear" w:color="auto" w:fill="FFFFFF"/>
                </w:rPr>
              </m:ctrlPr>
            </m:fPr>
            <m:num>
              <m:r>
                <w:rPr>
                  <w:rFonts w:ascii="Cambria Math" w:hAnsi="Cambria Math" w:cs="Times New Roman"/>
                  <w:color w:val="000000"/>
                  <w:sz w:val="24"/>
                  <w:szCs w:val="24"/>
                  <w:shd w:val="clear" w:color="auto" w:fill="FFFFFF"/>
                </w:rPr>
                <m:t>(Вартість цінних паперів на момент розрахунку – Вартість цінних паперів на момент покупки)</m:t>
              </m:r>
            </m:num>
            <m:den>
              <m:r>
                <w:rPr>
                  <w:rFonts w:ascii="Cambria Math" w:hAnsi="Cambria Math" w:cs="Times New Roman"/>
                  <w:color w:val="000000"/>
                  <w:sz w:val="24"/>
                  <w:szCs w:val="24"/>
                  <w:shd w:val="clear" w:color="auto" w:fill="FFFFFF"/>
                </w:rPr>
                <m:t>Вартість цінних паперів на момент покупки.</m:t>
              </m:r>
            </m:den>
          </m:f>
          <m:r>
            <w:rPr>
              <w:rFonts w:ascii="Cambria Math" w:hAnsi="Cambria Math" w:cs="Times New Roman"/>
              <w:color w:val="000000"/>
              <w:sz w:val="24"/>
              <w:szCs w:val="24"/>
              <w:shd w:val="clear" w:color="auto" w:fill="FFFFFF"/>
            </w:rPr>
            <m:t xml:space="preserve"> </m:t>
          </m:r>
        </m:oMath>
      </m:oMathPara>
    </w:p>
    <w:p w:rsidR="00717D6A" w:rsidRPr="00717D6A" w:rsidRDefault="00717D6A" w:rsidP="00717D6A">
      <w:pPr>
        <w:spacing w:after="0" w:line="240" w:lineRule="auto"/>
        <w:jc w:val="both"/>
        <w:rPr>
          <w:rFonts w:ascii="Times New Roman" w:hAnsi="Times New Roman" w:cs="Times New Roman"/>
          <w:color w:val="000000"/>
          <w:sz w:val="28"/>
          <w:szCs w:val="28"/>
          <w:shd w:val="clear" w:color="auto" w:fill="FFFFFF"/>
        </w:rPr>
      </w:pPr>
      <w:r w:rsidRPr="00717D6A">
        <w:rPr>
          <w:rFonts w:ascii="Times New Roman" w:hAnsi="Times New Roman" w:cs="Times New Roman"/>
          <w:i/>
          <w:iCs/>
          <w:color w:val="000000"/>
          <w:sz w:val="28"/>
          <w:szCs w:val="28"/>
          <w:shd w:val="clear" w:color="auto" w:fill="FFFFFF"/>
        </w:rPr>
        <w:t xml:space="preserve"> </w:t>
      </w:r>
      <w:r w:rsidRPr="00717D6A">
        <w:rPr>
          <w:rFonts w:ascii="Times New Roman" w:hAnsi="Times New Roman" w:cs="Times New Roman"/>
          <w:color w:val="000000"/>
          <w:sz w:val="28"/>
          <w:szCs w:val="28"/>
          <w:shd w:val="clear" w:color="auto" w:fill="FFFFFF"/>
        </w:rPr>
        <w:t xml:space="preserve">Під очікуваною прибутковістю портфеля розуміється середньозважене значення очікуваних значень прибутковості цінних паперів, що входять в портфель. При цьому «вага» кожного цінного паперу визначається відносною кількістю грошей, спрямованих інвестором на покупку цього цінного паперу. </w:t>
      </w:r>
    </w:p>
    <w:p w:rsidR="00717D6A" w:rsidRPr="00717D6A" w:rsidRDefault="00717D6A" w:rsidP="00717D6A">
      <w:pPr>
        <w:spacing w:after="0" w:line="240" w:lineRule="auto"/>
        <w:jc w:val="both"/>
        <w:rPr>
          <w:rFonts w:ascii="Times New Roman" w:hAnsi="Times New Roman" w:cs="Times New Roman"/>
          <w:color w:val="000000"/>
          <w:sz w:val="28"/>
          <w:szCs w:val="28"/>
          <w:shd w:val="clear" w:color="auto" w:fill="FFFFFF"/>
        </w:rPr>
      </w:pPr>
      <w:r w:rsidRPr="00717D6A">
        <w:rPr>
          <w:rFonts w:ascii="Times New Roman" w:hAnsi="Times New Roman" w:cs="Times New Roman"/>
          <w:color w:val="000000"/>
          <w:sz w:val="28"/>
          <w:szCs w:val="28"/>
          <w:shd w:val="clear" w:color="auto" w:fill="FFFFFF"/>
        </w:rPr>
        <w:lastRenderedPageBreak/>
        <w:t>Очікувана дохідність інвестиційного портфеля дорівнює:</w:t>
      </w:r>
    </w:p>
    <w:p w:rsidR="00717D6A" w:rsidRPr="00717D6A" w:rsidRDefault="00717D6A" w:rsidP="00717D6A">
      <w:pPr>
        <w:spacing w:after="0" w:line="240" w:lineRule="auto"/>
        <w:jc w:val="both"/>
        <w:rPr>
          <w:rFonts w:ascii="Times New Roman" w:hAnsi="Times New Roman" w:cs="Times New Roman"/>
          <w:i/>
          <w:iCs/>
          <w:color w:val="000000"/>
          <w:sz w:val="28"/>
          <w:szCs w:val="28"/>
          <w:shd w:val="clear" w:color="auto" w:fill="FFFFFF"/>
          <w:vertAlign w:val="subscript"/>
        </w:rPr>
      </w:pPr>
      <w:r w:rsidRPr="00717D6A">
        <w:rPr>
          <w:rFonts w:ascii="Times New Roman" w:hAnsi="Times New Roman" w:cs="Times New Roman"/>
          <w:color w:val="000000"/>
          <w:sz w:val="28"/>
          <w:szCs w:val="28"/>
        </w:rPr>
        <w:br/>
      </w:r>
      <w:r w:rsidRPr="00717D6A">
        <w:rPr>
          <w:rFonts w:ascii="Times New Roman" w:hAnsi="Times New Roman" w:cs="Times New Roman"/>
          <w:i/>
          <w:iCs/>
          <w:color w:val="000000"/>
          <w:sz w:val="28"/>
          <w:szCs w:val="28"/>
          <w:shd w:val="clear" w:color="auto" w:fill="FFFFFF"/>
        </w:rPr>
        <w:t>R</w:t>
      </w:r>
      <w:r w:rsidRPr="00717D6A">
        <w:rPr>
          <w:rFonts w:ascii="Times New Roman" w:hAnsi="Times New Roman" w:cs="Times New Roman"/>
          <w:i/>
          <w:iCs/>
          <w:color w:val="000000"/>
          <w:sz w:val="28"/>
          <w:szCs w:val="28"/>
          <w:shd w:val="clear" w:color="auto" w:fill="FFFFFF"/>
          <w:vertAlign w:val="subscript"/>
        </w:rPr>
        <w:t>портфеля, %</w:t>
      </w:r>
      <w:r w:rsidRPr="00717D6A">
        <w:rPr>
          <w:rFonts w:ascii="Times New Roman" w:hAnsi="Times New Roman" w:cs="Times New Roman"/>
          <w:i/>
          <w:iCs/>
          <w:color w:val="000000"/>
          <w:sz w:val="28"/>
          <w:szCs w:val="28"/>
          <w:shd w:val="clear" w:color="auto" w:fill="FFFFFF"/>
        </w:rPr>
        <w:t> = R</w:t>
      </w:r>
      <w:r w:rsidRPr="00717D6A">
        <w:rPr>
          <w:rFonts w:ascii="Times New Roman" w:hAnsi="Times New Roman" w:cs="Times New Roman"/>
          <w:i/>
          <w:iCs/>
          <w:color w:val="000000"/>
          <w:sz w:val="28"/>
          <w:szCs w:val="28"/>
          <w:shd w:val="clear" w:color="auto" w:fill="FFFFFF"/>
          <w:vertAlign w:val="subscript"/>
        </w:rPr>
        <w:t>1</w:t>
      </w:r>
      <w:r w:rsidRPr="00717D6A">
        <w:rPr>
          <w:rFonts w:ascii="Times New Roman" w:hAnsi="Times New Roman" w:cs="Times New Roman"/>
          <w:i/>
          <w:iCs/>
          <w:color w:val="000000"/>
          <w:sz w:val="28"/>
          <w:szCs w:val="28"/>
          <w:shd w:val="clear" w:color="auto" w:fill="FFFFFF"/>
        </w:rPr>
        <w:t>*W</w:t>
      </w:r>
      <w:r w:rsidRPr="00717D6A">
        <w:rPr>
          <w:rFonts w:ascii="Times New Roman" w:hAnsi="Times New Roman" w:cs="Times New Roman"/>
          <w:i/>
          <w:iCs/>
          <w:color w:val="000000"/>
          <w:sz w:val="28"/>
          <w:szCs w:val="28"/>
          <w:shd w:val="clear" w:color="auto" w:fill="FFFFFF"/>
          <w:vertAlign w:val="subscript"/>
        </w:rPr>
        <w:t>1</w:t>
      </w:r>
      <w:r w:rsidRPr="00717D6A">
        <w:rPr>
          <w:rFonts w:ascii="Times New Roman" w:hAnsi="Times New Roman" w:cs="Times New Roman"/>
          <w:i/>
          <w:iCs/>
          <w:color w:val="000000"/>
          <w:sz w:val="28"/>
          <w:szCs w:val="28"/>
          <w:shd w:val="clear" w:color="auto" w:fill="FFFFFF"/>
        </w:rPr>
        <w:t>+R</w:t>
      </w:r>
      <w:r w:rsidRPr="00717D6A">
        <w:rPr>
          <w:rFonts w:ascii="Times New Roman" w:hAnsi="Times New Roman" w:cs="Times New Roman"/>
          <w:i/>
          <w:iCs/>
          <w:color w:val="000000"/>
          <w:sz w:val="28"/>
          <w:szCs w:val="28"/>
          <w:shd w:val="clear" w:color="auto" w:fill="FFFFFF"/>
          <w:vertAlign w:val="subscript"/>
        </w:rPr>
        <w:t>2</w:t>
      </w:r>
      <w:r w:rsidRPr="00717D6A">
        <w:rPr>
          <w:rFonts w:ascii="Times New Roman" w:hAnsi="Times New Roman" w:cs="Times New Roman"/>
          <w:i/>
          <w:iCs/>
          <w:color w:val="000000"/>
          <w:sz w:val="28"/>
          <w:szCs w:val="28"/>
          <w:shd w:val="clear" w:color="auto" w:fill="FFFFFF"/>
        </w:rPr>
        <w:t>*W</w:t>
      </w:r>
      <w:r w:rsidRPr="00717D6A">
        <w:rPr>
          <w:rFonts w:ascii="Times New Roman" w:hAnsi="Times New Roman" w:cs="Times New Roman"/>
          <w:i/>
          <w:iCs/>
          <w:color w:val="000000"/>
          <w:sz w:val="28"/>
          <w:szCs w:val="28"/>
          <w:shd w:val="clear" w:color="auto" w:fill="FFFFFF"/>
          <w:vertAlign w:val="subscript"/>
        </w:rPr>
        <w:t>2</w:t>
      </w:r>
      <w:r w:rsidRPr="00717D6A">
        <w:rPr>
          <w:rFonts w:ascii="Times New Roman" w:hAnsi="Times New Roman" w:cs="Times New Roman"/>
          <w:i/>
          <w:iCs/>
          <w:color w:val="000000"/>
          <w:sz w:val="28"/>
          <w:szCs w:val="28"/>
          <w:shd w:val="clear" w:color="auto" w:fill="FFFFFF"/>
        </w:rPr>
        <w:t>+…+ R</w:t>
      </w:r>
      <w:r w:rsidRPr="00717D6A">
        <w:rPr>
          <w:rFonts w:ascii="Times New Roman" w:hAnsi="Times New Roman" w:cs="Times New Roman"/>
          <w:i/>
          <w:iCs/>
          <w:color w:val="000000"/>
          <w:sz w:val="28"/>
          <w:szCs w:val="28"/>
          <w:shd w:val="clear" w:color="auto" w:fill="FFFFFF"/>
          <w:vertAlign w:val="subscript"/>
        </w:rPr>
        <w:t>i</w:t>
      </w:r>
      <w:r w:rsidRPr="00717D6A">
        <w:rPr>
          <w:rFonts w:ascii="Times New Roman" w:hAnsi="Times New Roman" w:cs="Times New Roman"/>
          <w:i/>
          <w:iCs/>
          <w:color w:val="000000"/>
          <w:sz w:val="28"/>
          <w:szCs w:val="28"/>
          <w:shd w:val="clear" w:color="auto" w:fill="FFFFFF"/>
        </w:rPr>
        <w:t>*W</w:t>
      </w:r>
      <w:r w:rsidRPr="00717D6A">
        <w:rPr>
          <w:rFonts w:ascii="Times New Roman" w:hAnsi="Times New Roman" w:cs="Times New Roman"/>
          <w:i/>
          <w:iCs/>
          <w:color w:val="000000"/>
          <w:sz w:val="28"/>
          <w:szCs w:val="28"/>
          <w:shd w:val="clear" w:color="auto" w:fill="FFFFFF"/>
          <w:vertAlign w:val="subscript"/>
        </w:rPr>
        <w:t>i</w:t>
      </w:r>
    </w:p>
    <w:p w:rsidR="00717D6A" w:rsidRPr="00717D6A" w:rsidRDefault="00717D6A" w:rsidP="00717D6A">
      <w:pPr>
        <w:spacing w:after="0" w:line="240" w:lineRule="auto"/>
        <w:jc w:val="both"/>
        <w:rPr>
          <w:rFonts w:ascii="Times New Roman" w:hAnsi="Times New Roman" w:cs="Times New Roman"/>
          <w:color w:val="000000"/>
          <w:sz w:val="28"/>
          <w:szCs w:val="28"/>
          <w:shd w:val="clear" w:color="auto" w:fill="FFFFFF"/>
        </w:rPr>
      </w:pPr>
      <w:r w:rsidRPr="00717D6A">
        <w:rPr>
          <w:rFonts w:ascii="Times New Roman" w:hAnsi="Times New Roman" w:cs="Times New Roman"/>
          <w:color w:val="000000"/>
          <w:sz w:val="28"/>
          <w:szCs w:val="28"/>
        </w:rPr>
        <w:br/>
      </w:r>
      <w:r w:rsidRPr="00717D6A">
        <w:rPr>
          <w:rFonts w:ascii="Times New Roman" w:hAnsi="Times New Roman" w:cs="Times New Roman"/>
          <w:color w:val="000000"/>
          <w:sz w:val="28"/>
          <w:szCs w:val="28"/>
          <w:shd w:val="clear" w:color="auto" w:fill="FFFFFF"/>
        </w:rPr>
        <w:t>де </w:t>
      </w:r>
      <w:r w:rsidRPr="00717D6A">
        <w:rPr>
          <w:rFonts w:ascii="Times New Roman" w:hAnsi="Times New Roman" w:cs="Times New Roman"/>
          <w:i/>
          <w:iCs/>
          <w:color w:val="000000"/>
          <w:sz w:val="28"/>
          <w:szCs w:val="28"/>
          <w:shd w:val="clear" w:color="auto" w:fill="FFFFFF"/>
        </w:rPr>
        <w:t>R</w:t>
      </w:r>
      <w:r w:rsidRPr="00717D6A">
        <w:rPr>
          <w:rFonts w:ascii="Times New Roman" w:hAnsi="Times New Roman" w:cs="Times New Roman"/>
          <w:i/>
          <w:iCs/>
          <w:color w:val="000000"/>
          <w:sz w:val="28"/>
          <w:szCs w:val="28"/>
          <w:shd w:val="clear" w:color="auto" w:fill="FFFFFF"/>
          <w:vertAlign w:val="subscript"/>
        </w:rPr>
        <w:t>i</w:t>
      </w:r>
      <w:r w:rsidRPr="00717D6A">
        <w:rPr>
          <w:rFonts w:ascii="Times New Roman" w:hAnsi="Times New Roman" w:cs="Times New Roman"/>
          <w:color w:val="000000"/>
          <w:sz w:val="28"/>
          <w:szCs w:val="28"/>
          <w:shd w:val="clear" w:color="auto" w:fill="FFFFFF"/>
        </w:rPr>
        <w:t> – очікувана дохідність і-тої акції, </w:t>
      </w:r>
      <w:r w:rsidRPr="00717D6A">
        <w:rPr>
          <w:rFonts w:ascii="Times New Roman" w:hAnsi="Times New Roman" w:cs="Times New Roman"/>
          <w:i/>
          <w:iCs/>
          <w:color w:val="000000"/>
          <w:sz w:val="28"/>
          <w:szCs w:val="28"/>
          <w:shd w:val="clear" w:color="auto" w:fill="FFFFFF"/>
        </w:rPr>
        <w:t>W</w:t>
      </w:r>
      <w:r w:rsidRPr="00717D6A">
        <w:rPr>
          <w:rFonts w:ascii="Times New Roman" w:hAnsi="Times New Roman" w:cs="Times New Roman"/>
          <w:i/>
          <w:iCs/>
          <w:color w:val="000000"/>
          <w:sz w:val="28"/>
          <w:szCs w:val="28"/>
          <w:shd w:val="clear" w:color="auto" w:fill="FFFFFF"/>
          <w:vertAlign w:val="subscript"/>
        </w:rPr>
        <w:t>i</w:t>
      </w:r>
      <w:r w:rsidRPr="00717D6A">
        <w:rPr>
          <w:rFonts w:ascii="Times New Roman" w:hAnsi="Times New Roman" w:cs="Times New Roman"/>
          <w:color w:val="000000"/>
          <w:sz w:val="28"/>
          <w:szCs w:val="28"/>
          <w:shd w:val="clear" w:color="auto" w:fill="FFFFFF"/>
        </w:rPr>
        <w:t> – частка і-тої акції у портфелі.</w:t>
      </w:r>
    </w:p>
    <w:p w:rsidR="00717D6A" w:rsidRPr="00717D6A" w:rsidRDefault="00717D6A" w:rsidP="00F33837">
      <w:pPr>
        <w:spacing w:after="0" w:line="240" w:lineRule="auto"/>
        <w:ind w:firstLine="567"/>
        <w:jc w:val="both"/>
        <w:rPr>
          <w:rFonts w:ascii="Times New Roman" w:hAnsi="Times New Roman" w:cs="Times New Roman"/>
          <w:noProof/>
          <w:sz w:val="28"/>
          <w:szCs w:val="28"/>
          <w:lang w:eastAsia="ru-RU"/>
        </w:rPr>
      </w:pPr>
    </w:p>
    <w:p w:rsidR="00455EB3" w:rsidRPr="00717D6A" w:rsidRDefault="00455EB3" w:rsidP="00455EB3">
      <w:pPr>
        <w:spacing w:after="0" w:line="240" w:lineRule="auto"/>
        <w:ind w:firstLine="567"/>
        <w:jc w:val="both"/>
        <w:rPr>
          <w:rFonts w:ascii="Times New Roman" w:hAnsi="Times New Roman" w:cs="Times New Roman"/>
          <w:noProof/>
          <w:sz w:val="28"/>
          <w:szCs w:val="28"/>
          <w:lang w:eastAsia="ru-RU"/>
        </w:rPr>
      </w:pPr>
    </w:p>
    <w:p w:rsidR="00F41348" w:rsidRPr="00F41348" w:rsidRDefault="00F41348" w:rsidP="00455EB3">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Ризик портфеля цінних паперів полягає в тому, що очікування власника щодо його дохідності можуть не виправдатися і деяку частину доходів не буде отримано. При цьому оцінюється очікуваний дохід, а інвестиційний ризик розглядається як невизначеність щодо одержання цього доходу, тобто ступінь мінливос</w:t>
      </w:r>
      <w:r w:rsidRPr="00F41348">
        <w:rPr>
          <w:rFonts w:ascii="Times New Roman" w:eastAsia="Times New Roman" w:hAnsi="Times New Roman" w:cs="Times New Roman"/>
          <w:color w:val="402A18"/>
          <w:sz w:val="28"/>
          <w:szCs w:val="28"/>
          <w:lang w:eastAsia="ru-RU"/>
        </w:rPr>
        <w:softHyphen/>
        <w:t xml:space="preserve">ті (варіабельності) доходу. Таким чином, очікувана дохідність портфеля цінних паперів, </w:t>
      </w:r>
      <w:proofErr w:type="gramStart"/>
      <w:r w:rsidRPr="00F41348">
        <w:rPr>
          <w:rFonts w:ascii="Times New Roman" w:eastAsia="Times New Roman" w:hAnsi="Times New Roman" w:cs="Times New Roman"/>
          <w:color w:val="402A18"/>
          <w:sz w:val="28"/>
          <w:szCs w:val="28"/>
          <w:lang w:eastAsia="ru-RU"/>
        </w:rPr>
        <w:t>на яку</w:t>
      </w:r>
      <w:proofErr w:type="gramEnd"/>
      <w:r w:rsidRPr="00F41348">
        <w:rPr>
          <w:rFonts w:ascii="Times New Roman" w:eastAsia="Times New Roman" w:hAnsi="Times New Roman" w:cs="Times New Roman"/>
          <w:color w:val="402A18"/>
          <w:sz w:val="28"/>
          <w:szCs w:val="28"/>
          <w:lang w:eastAsia="ru-RU"/>
        </w:rPr>
        <w:t xml:space="preserve"> сподівається банк протягом певного періоду, є випадковою величиною, а тому його кількісна оцінка не може бути однозначною. У цілому вимірювання ризику фінансових інвестицій — багатоаспектна проблема як з погляду методики оцінювання, так і з позицій ефективного управління інвестиційним портфелем банку.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Слід наголосити, що при визначенні рівня ризикованості властивості портфеля відрізняються від властивостей окремих цінних паперів. На відміну від дохідності, ризик портфеля не обов’язково вимірюється середньозваженою величиною сукупності ризиків окремих портфельних інвестицій, оскільки різні цінні папери по-різному реагують на зміну кон’юнктури ринку.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Відхилення фактичної дохідності окремих цінних паперів від очікуваної в ряді випадків можуть взаємно погашатися, результатом чого стає зниження загального ризику портфеля за збереження дохідності. Тому ризик портфеля значною мірою залежить від кількості груп цінних паперів, які формують портфель, та від того, на скільки і в якому напрямі змінюється їхня дохідність за зміни кон’юнктури ринку. Для визначення ступеня взаємовпливу ризиків окремих цінних паперів використовують показники коваріації та кореляції.</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Оцінка портфельного ризику складається з трьох етапів:</w:t>
      </w:r>
    </w:p>
    <w:p w:rsidR="00F41348" w:rsidRPr="00717D6A" w:rsidRDefault="00F41348" w:rsidP="00717D6A">
      <w:pPr>
        <w:pStyle w:val="a3"/>
        <w:numPr>
          <w:ilvl w:val="0"/>
          <w:numId w:val="3"/>
        </w:numPr>
        <w:spacing w:after="0" w:line="240" w:lineRule="auto"/>
        <w:jc w:val="both"/>
        <w:rPr>
          <w:rFonts w:ascii="Times New Roman" w:eastAsia="Times New Roman" w:hAnsi="Times New Roman" w:cs="Times New Roman"/>
          <w:color w:val="402A18"/>
          <w:sz w:val="28"/>
          <w:szCs w:val="28"/>
          <w:lang w:eastAsia="ru-RU"/>
        </w:rPr>
      </w:pPr>
      <w:r w:rsidRPr="00717D6A">
        <w:rPr>
          <w:rFonts w:ascii="Times New Roman" w:eastAsia="Times New Roman" w:hAnsi="Times New Roman" w:cs="Times New Roman"/>
          <w:color w:val="402A18"/>
          <w:sz w:val="28"/>
          <w:szCs w:val="28"/>
          <w:lang w:eastAsia="ru-RU"/>
        </w:rPr>
        <w:t>оцінка ризику окремих цінних паперів;</w:t>
      </w:r>
    </w:p>
    <w:p w:rsidR="00F41348" w:rsidRPr="00717D6A" w:rsidRDefault="00F41348" w:rsidP="00717D6A">
      <w:pPr>
        <w:pStyle w:val="a3"/>
        <w:numPr>
          <w:ilvl w:val="0"/>
          <w:numId w:val="3"/>
        </w:numPr>
        <w:spacing w:after="0" w:line="240" w:lineRule="auto"/>
        <w:jc w:val="both"/>
        <w:rPr>
          <w:rFonts w:ascii="Times New Roman" w:eastAsia="Times New Roman" w:hAnsi="Times New Roman" w:cs="Times New Roman"/>
          <w:color w:val="402A18"/>
          <w:sz w:val="28"/>
          <w:szCs w:val="28"/>
          <w:lang w:eastAsia="ru-RU"/>
        </w:rPr>
      </w:pPr>
      <w:r w:rsidRPr="00717D6A">
        <w:rPr>
          <w:rFonts w:ascii="Times New Roman" w:eastAsia="Times New Roman" w:hAnsi="Times New Roman" w:cs="Times New Roman"/>
          <w:color w:val="402A18"/>
          <w:sz w:val="28"/>
          <w:szCs w:val="28"/>
          <w:lang w:eastAsia="ru-RU"/>
        </w:rPr>
        <w:t>з’ясування ступеня їх взаємовпливу;</w:t>
      </w:r>
    </w:p>
    <w:p w:rsidR="00F41348" w:rsidRPr="00717D6A" w:rsidRDefault="00F41348" w:rsidP="00717D6A">
      <w:pPr>
        <w:pStyle w:val="a3"/>
        <w:numPr>
          <w:ilvl w:val="0"/>
          <w:numId w:val="3"/>
        </w:numPr>
        <w:spacing w:after="0" w:line="240" w:lineRule="auto"/>
        <w:jc w:val="both"/>
        <w:rPr>
          <w:rFonts w:ascii="Times New Roman" w:eastAsia="Times New Roman" w:hAnsi="Times New Roman" w:cs="Times New Roman"/>
          <w:color w:val="402A18"/>
          <w:sz w:val="28"/>
          <w:szCs w:val="28"/>
          <w:lang w:eastAsia="ru-RU"/>
        </w:rPr>
      </w:pPr>
      <w:r w:rsidRPr="00717D6A">
        <w:rPr>
          <w:rFonts w:ascii="Times New Roman" w:eastAsia="Times New Roman" w:hAnsi="Times New Roman" w:cs="Times New Roman"/>
          <w:color w:val="402A18"/>
          <w:sz w:val="28"/>
          <w:szCs w:val="28"/>
          <w:lang w:eastAsia="ru-RU"/>
        </w:rPr>
        <w:t>визначення сукупного ризику портфеля.</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Ризики, пов’язані з проведенням операцій з цінними паперами, не однорідні за своїм змістом, а тому банк має оцінювати та брати до уваги основні види ризиків, на які наражається інвестор у процесі придбання та зберігання цінних паперів, а саме:</w:t>
      </w:r>
    </w:p>
    <w:p w:rsidR="00F41348" w:rsidRPr="007B527B" w:rsidRDefault="00F41348" w:rsidP="007B527B">
      <w:pPr>
        <w:pStyle w:val="a3"/>
        <w:numPr>
          <w:ilvl w:val="0"/>
          <w:numId w:val="1"/>
        </w:numPr>
        <w:spacing w:after="0" w:line="240" w:lineRule="auto"/>
        <w:ind w:firstLine="567"/>
        <w:jc w:val="both"/>
        <w:rPr>
          <w:rFonts w:ascii="Times New Roman" w:eastAsia="Times New Roman" w:hAnsi="Times New Roman" w:cs="Times New Roman"/>
          <w:color w:val="402A18"/>
          <w:sz w:val="28"/>
          <w:szCs w:val="28"/>
          <w:lang w:eastAsia="ru-RU"/>
        </w:rPr>
      </w:pPr>
      <w:r w:rsidRPr="007B527B">
        <w:rPr>
          <w:rFonts w:ascii="Times New Roman" w:eastAsia="Times New Roman" w:hAnsi="Times New Roman" w:cs="Times New Roman"/>
          <w:color w:val="402A18"/>
          <w:sz w:val="28"/>
          <w:szCs w:val="28"/>
          <w:lang w:eastAsia="ru-RU"/>
        </w:rPr>
        <w:t>рівень ліквідності цінних паперів;</w:t>
      </w:r>
    </w:p>
    <w:p w:rsidR="00F41348" w:rsidRPr="007B527B" w:rsidRDefault="00F41348" w:rsidP="007B527B">
      <w:pPr>
        <w:pStyle w:val="a3"/>
        <w:numPr>
          <w:ilvl w:val="0"/>
          <w:numId w:val="1"/>
        </w:numPr>
        <w:spacing w:after="0" w:line="240" w:lineRule="auto"/>
        <w:ind w:firstLine="567"/>
        <w:jc w:val="both"/>
        <w:rPr>
          <w:rFonts w:ascii="Times New Roman" w:eastAsia="Times New Roman" w:hAnsi="Times New Roman" w:cs="Times New Roman"/>
          <w:color w:val="402A18"/>
          <w:sz w:val="28"/>
          <w:szCs w:val="28"/>
          <w:lang w:eastAsia="ru-RU"/>
        </w:rPr>
      </w:pPr>
      <w:r w:rsidRPr="007B527B">
        <w:rPr>
          <w:rFonts w:ascii="Times New Roman" w:eastAsia="Times New Roman" w:hAnsi="Times New Roman" w:cs="Times New Roman"/>
          <w:color w:val="402A18"/>
          <w:sz w:val="28"/>
          <w:szCs w:val="28"/>
          <w:lang w:eastAsia="ru-RU"/>
        </w:rPr>
        <w:t>ризик дострокового відкликання;</w:t>
      </w:r>
    </w:p>
    <w:p w:rsidR="00F41348" w:rsidRPr="007B527B" w:rsidRDefault="00F41348" w:rsidP="007B527B">
      <w:pPr>
        <w:pStyle w:val="a3"/>
        <w:numPr>
          <w:ilvl w:val="0"/>
          <w:numId w:val="1"/>
        </w:numPr>
        <w:spacing w:after="0" w:line="240" w:lineRule="auto"/>
        <w:ind w:firstLine="567"/>
        <w:jc w:val="both"/>
        <w:rPr>
          <w:rFonts w:ascii="Times New Roman" w:eastAsia="Times New Roman" w:hAnsi="Times New Roman" w:cs="Times New Roman"/>
          <w:color w:val="402A18"/>
          <w:sz w:val="28"/>
          <w:szCs w:val="28"/>
          <w:lang w:eastAsia="ru-RU"/>
        </w:rPr>
      </w:pPr>
      <w:r w:rsidRPr="007B527B">
        <w:rPr>
          <w:rFonts w:ascii="Times New Roman" w:eastAsia="Times New Roman" w:hAnsi="Times New Roman" w:cs="Times New Roman"/>
          <w:color w:val="402A18"/>
          <w:sz w:val="28"/>
          <w:szCs w:val="28"/>
          <w:lang w:eastAsia="ru-RU"/>
        </w:rPr>
        <w:t>інфляційний ризик;</w:t>
      </w:r>
    </w:p>
    <w:p w:rsidR="00F41348" w:rsidRPr="007B527B" w:rsidRDefault="00F41348" w:rsidP="007B527B">
      <w:pPr>
        <w:pStyle w:val="a3"/>
        <w:numPr>
          <w:ilvl w:val="0"/>
          <w:numId w:val="1"/>
        </w:numPr>
        <w:spacing w:after="0" w:line="240" w:lineRule="auto"/>
        <w:ind w:firstLine="567"/>
        <w:jc w:val="both"/>
        <w:rPr>
          <w:rFonts w:ascii="Times New Roman" w:eastAsia="Times New Roman" w:hAnsi="Times New Roman" w:cs="Times New Roman"/>
          <w:color w:val="402A18"/>
          <w:sz w:val="28"/>
          <w:szCs w:val="28"/>
          <w:lang w:eastAsia="ru-RU"/>
        </w:rPr>
      </w:pPr>
      <w:r w:rsidRPr="007B527B">
        <w:rPr>
          <w:rFonts w:ascii="Times New Roman" w:eastAsia="Times New Roman" w:hAnsi="Times New Roman" w:cs="Times New Roman"/>
          <w:color w:val="402A18"/>
          <w:sz w:val="28"/>
          <w:szCs w:val="28"/>
          <w:lang w:eastAsia="ru-RU"/>
        </w:rPr>
        <w:t>відсотковий, кредитний та діловий ризики;</w:t>
      </w:r>
    </w:p>
    <w:p w:rsidR="00F41348" w:rsidRPr="007B527B" w:rsidRDefault="00F41348" w:rsidP="007B527B">
      <w:pPr>
        <w:pStyle w:val="a3"/>
        <w:numPr>
          <w:ilvl w:val="0"/>
          <w:numId w:val="1"/>
        </w:numPr>
        <w:spacing w:after="0" w:line="240" w:lineRule="auto"/>
        <w:ind w:firstLine="567"/>
        <w:jc w:val="both"/>
        <w:rPr>
          <w:rFonts w:ascii="Times New Roman" w:eastAsia="Times New Roman" w:hAnsi="Times New Roman" w:cs="Times New Roman"/>
          <w:color w:val="402A18"/>
          <w:sz w:val="28"/>
          <w:szCs w:val="28"/>
          <w:lang w:eastAsia="ru-RU"/>
        </w:rPr>
      </w:pPr>
      <w:r w:rsidRPr="007B527B">
        <w:rPr>
          <w:rFonts w:ascii="Times New Roman" w:eastAsia="Times New Roman" w:hAnsi="Times New Roman" w:cs="Times New Roman"/>
          <w:color w:val="402A18"/>
          <w:sz w:val="28"/>
          <w:szCs w:val="28"/>
          <w:lang w:eastAsia="ru-RU"/>
        </w:rPr>
        <w:t>ризик, пов’язаний з тривалістю періоду обігу цінного папера.</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Рівень ліквідності цінних паперів визначається параметрами відповідного вторинного ринку, такими як обсяг операцій, активність торгівлі, правила оподаткування доходів від перепродажу цінних паперів, масштаби діяльності.</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Інвестиційний менеджер, вирішуючи питання про купівлю цінних паперів, має обов’язково оцінити можливості їх продажу до настання строку погашення. Така потреба може постати через незбалансовану ліквідність, коли банк відчуватиме брак готівкових коштів.</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lastRenderedPageBreak/>
        <w:t xml:space="preserve">Ліквідні цінні папери — це фінансові інструменти, які можуть бути продані </w:t>
      </w:r>
      <w:proofErr w:type="gramStart"/>
      <w:r w:rsidRPr="00F41348">
        <w:rPr>
          <w:rFonts w:ascii="Times New Roman" w:eastAsia="Times New Roman" w:hAnsi="Times New Roman" w:cs="Times New Roman"/>
          <w:color w:val="402A18"/>
          <w:sz w:val="28"/>
          <w:szCs w:val="28"/>
          <w:lang w:eastAsia="ru-RU"/>
        </w:rPr>
        <w:t>в будь</w:t>
      </w:r>
      <w:proofErr w:type="gramEnd"/>
      <w:r w:rsidRPr="00F41348">
        <w:rPr>
          <w:rFonts w:ascii="Times New Roman" w:eastAsia="Times New Roman" w:hAnsi="Times New Roman" w:cs="Times New Roman"/>
          <w:color w:val="402A18"/>
          <w:sz w:val="28"/>
          <w:szCs w:val="28"/>
          <w:lang w:eastAsia="ru-RU"/>
        </w:rPr>
        <w:t>-який час без суттєвого зниження ціни. Ліквід</w:t>
      </w:r>
      <w:r w:rsidRPr="00F41348">
        <w:rPr>
          <w:rFonts w:ascii="Times New Roman" w:eastAsia="Times New Roman" w:hAnsi="Times New Roman" w:cs="Times New Roman"/>
          <w:color w:val="402A18"/>
          <w:sz w:val="28"/>
          <w:szCs w:val="28"/>
          <w:lang w:eastAsia="ru-RU"/>
        </w:rPr>
        <w:softHyphen/>
        <w:t>ні ринки характеризуються високою ймовірністю повернення почат</w:t>
      </w:r>
      <w:r w:rsidRPr="00F41348">
        <w:rPr>
          <w:rFonts w:ascii="Times New Roman" w:eastAsia="Times New Roman" w:hAnsi="Times New Roman" w:cs="Times New Roman"/>
          <w:color w:val="402A18"/>
          <w:sz w:val="28"/>
          <w:szCs w:val="28"/>
          <w:lang w:eastAsia="ru-RU"/>
        </w:rPr>
        <w:softHyphen/>
        <w:t xml:space="preserve">кової суми інвестиції та стабільністю ціни цінного папера протягом періоду обігу. На таких ринках спред (різниця між цінами продажу та купівлі) мінімальний. Але слід пам’ятати, що цінні папери, які легко реалізуються </w:t>
      </w:r>
      <w:proofErr w:type="gramStart"/>
      <w:r w:rsidRPr="00F41348">
        <w:rPr>
          <w:rFonts w:ascii="Times New Roman" w:eastAsia="Times New Roman" w:hAnsi="Times New Roman" w:cs="Times New Roman"/>
          <w:color w:val="402A18"/>
          <w:sz w:val="28"/>
          <w:szCs w:val="28"/>
          <w:lang w:eastAsia="ru-RU"/>
        </w:rPr>
        <w:t>на ринку</w:t>
      </w:r>
      <w:proofErr w:type="gramEnd"/>
      <w:r w:rsidRPr="00F41348">
        <w:rPr>
          <w:rFonts w:ascii="Times New Roman" w:eastAsia="Times New Roman" w:hAnsi="Times New Roman" w:cs="Times New Roman"/>
          <w:color w:val="402A18"/>
          <w:sz w:val="28"/>
          <w:szCs w:val="28"/>
          <w:lang w:eastAsia="ru-RU"/>
        </w:rPr>
        <w:t xml:space="preserve"> з мінімальним ризиком втрати номінальної суми, характеризуються невисоким рівнем дохідності. Придбання великих обсягів ліквідних цінних паперів, як правило, призводить до зниження загальної дохід</w:t>
      </w:r>
      <w:r w:rsidRPr="00F41348">
        <w:rPr>
          <w:rFonts w:ascii="Times New Roman" w:eastAsia="Times New Roman" w:hAnsi="Times New Roman" w:cs="Times New Roman"/>
          <w:color w:val="402A18"/>
          <w:sz w:val="28"/>
          <w:szCs w:val="28"/>
          <w:lang w:eastAsia="ru-RU"/>
        </w:rPr>
        <w:softHyphen/>
        <w:t>ності банківських активів. Найбільш ліквідними цінними папе</w:t>
      </w:r>
      <w:r w:rsidRPr="00F41348">
        <w:rPr>
          <w:rFonts w:ascii="Times New Roman" w:eastAsia="Times New Roman" w:hAnsi="Times New Roman" w:cs="Times New Roman"/>
          <w:color w:val="402A18"/>
          <w:sz w:val="28"/>
          <w:szCs w:val="28"/>
          <w:lang w:eastAsia="ru-RU"/>
        </w:rPr>
        <w:softHyphen/>
        <w:t>рами в більшос</w:t>
      </w:r>
      <w:r w:rsidRPr="00F41348">
        <w:rPr>
          <w:rFonts w:ascii="Times New Roman" w:eastAsia="Times New Roman" w:hAnsi="Times New Roman" w:cs="Times New Roman"/>
          <w:color w:val="402A18"/>
          <w:sz w:val="28"/>
          <w:szCs w:val="28"/>
          <w:lang w:eastAsia="ru-RU"/>
        </w:rPr>
        <w:softHyphen/>
        <w:t>ті країн світу вважаються зобов’язання уряду.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За незначних обсягів операцій </w:t>
      </w:r>
      <w:proofErr w:type="gramStart"/>
      <w:r w:rsidRPr="00F41348">
        <w:rPr>
          <w:rFonts w:ascii="Times New Roman" w:eastAsia="Times New Roman" w:hAnsi="Times New Roman" w:cs="Times New Roman"/>
          <w:color w:val="402A18"/>
          <w:sz w:val="28"/>
          <w:szCs w:val="28"/>
          <w:lang w:eastAsia="ru-RU"/>
        </w:rPr>
        <w:t>на ринку</w:t>
      </w:r>
      <w:proofErr w:type="gramEnd"/>
      <w:r w:rsidRPr="00F41348">
        <w:rPr>
          <w:rFonts w:ascii="Times New Roman" w:eastAsia="Times New Roman" w:hAnsi="Times New Roman" w:cs="Times New Roman"/>
          <w:color w:val="402A18"/>
          <w:sz w:val="28"/>
          <w:szCs w:val="28"/>
          <w:lang w:eastAsia="ru-RU"/>
        </w:rPr>
        <w:t xml:space="preserve"> реалізація цінних паперів значно ускладнюється. У банківській практиці такі ринки називають «млявими», тобто недосконалими, та призначеними для обігу невеликих випусків цінних паперів. Здебільшого низько</w:t>
      </w:r>
      <w:r w:rsidRPr="00F41348">
        <w:rPr>
          <w:rFonts w:ascii="Times New Roman" w:eastAsia="Times New Roman" w:hAnsi="Times New Roman" w:cs="Times New Roman"/>
          <w:color w:val="402A18"/>
          <w:sz w:val="28"/>
          <w:szCs w:val="28"/>
          <w:lang w:eastAsia="ru-RU"/>
        </w:rPr>
        <w:softHyphen/>
        <w:t>ліквідними виявляються цінні папери, що не котируються, випущені на невелику суму або емітентом з низьким рейтингом. Через вузькість таких ринків банки під час купівлі цінних паперів змушені пропонувати завищену ціну. Якщо банк побажає зменшити свій пакет низьколіквідних паперів, то потрібно буде знизити їх ціну.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Отже, на недосконалих ринках цінних паперів ризик капітальних втрат зростає. Для деяких видів цінних паперів вторинного ринку взагалі немає. Тож інвестиційному менеджменту банку необхідно постійно балансувати між дохідністю і ліквідністю, щоденно переглядаючи управлінські рішення з урахуванням поточних ринкових ставок і потреб підтримки ліквідності банку.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Ризик дострокового погашення (відкликання) полягає в тому, що деякі емітенти залишають за собою право погашення цінних паперів до закінчення періоду обігу. Як правило, дострокове погашення відбувається після зниження ринкових ставок, коли емітент може випустити нові цінні папери під нижчу відсоткову ставку.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Отже, банк, у портфелі якого перебувають цінні папери з правом дострокового погашення, наражається на ризик втрати доходів. Цей ризик зумовлений необхідністю реінвестування достроково повернених коштів під нижчі відсоткові ставки, які склалися </w:t>
      </w:r>
      <w:proofErr w:type="gramStart"/>
      <w:r w:rsidRPr="00F41348">
        <w:rPr>
          <w:rFonts w:ascii="Times New Roman" w:eastAsia="Times New Roman" w:hAnsi="Times New Roman" w:cs="Times New Roman"/>
          <w:color w:val="402A18"/>
          <w:sz w:val="28"/>
          <w:szCs w:val="28"/>
          <w:lang w:eastAsia="ru-RU"/>
        </w:rPr>
        <w:t>на ринку</w:t>
      </w:r>
      <w:proofErr w:type="gramEnd"/>
      <w:r w:rsidRPr="00F41348">
        <w:rPr>
          <w:rFonts w:ascii="Times New Roman" w:eastAsia="Times New Roman" w:hAnsi="Times New Roman" w:cs="Times New Roman"/>
          <w:color w:val="402A18"/>
          <w:sz w:val="28"/>
          <w:szCs w:val="28"/>
          <w:lang w:eastAsia="ru-RU"/>
        </w:rPr>
        <w:t xml:space="preserve"> на поточний момент. Купуючи цінні папери з правом дострокового відкликання, менеджмент має оцінити ймовірність виникнення такої ситуації та можливі наслідки. Банк може уникнути ризику дострокового погашення, не включаючи цінні папери такого типу до свого портфеля.</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Інфляційний ризик пов’язується з імовірністю знецінення як процентого доходу, так і номіналу цінного папера внаслідок росту цін на товари та послуги. Менеджмент має порівнювати очікуваний рівень дохідності за цінним папером з прогнозованими тем</w:t>
      </w:r>
      <w:r w:rsidRPr="00F41348">
        <w:rPr>
          <w:rFonts w:ascii="Times New Roman" w:eastAsia="Times New Roman" w:hAnsi="Times New Roman" w:cs="Times New Roman"/>
          <w:color w:val="402A18"/>
          <w:sz w:val="28"/>
          <w:szCs w:val="28"/>
          <w:lang w:eastAsia="ru-RU"/>
        </w:rPr>
        <w:softHyphen/>
        <w:t>пами інфляції протягом періоду його обігу. У випадках, коли рівень інфляції не може бути досить точно передбачений або темпи інфляції високі, банківський портфель цінних паперів краще фор</w:t>
      </w:r>
      <w:r w:rsidRPr="00F41348">
        <w:rPr>
          <w:rFonts w:ascii="Times New Roman" w:eastAsia="Times New Roman" w:hAnsi="Times New Roman" w:cs="Times New Roman"/>
          <w:color w:val="402A18"/>
          <w:sz w:val="28"/>
          <w:szCs w:val="28"/>
          <w:lang w:eastAsia="ru-RU"/>
        </w:rPr>
        <w:softHyphen/>
        <w:t>мувати з короткострокових фінансових інструментів або цінних паперів з плаваючою ставкою. Такий підхід забезпечує більшу гнучкість і дозволяє адекватно реагувати на інфляційні процеси в економіці.</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Відсотковий ризик як імовірність зміни ставок </w:t>
      </w:r>
      <w:proofErr w:type="gramStart"/>
      <w:r w:rsidRPr="00F41348">
        <w:rPr>
          <w:rFonts w:ascii="Times New Roman" w:eastAsia="Times New Roman" w:hAnsi="Times New Roman" w:cs="Times New Roman"/>
          <w:color w:val="402A18"/>
          <w:sz w:val="28"/>
          <w:szCs w:val="28"/>
          <w:lang w:eastAsia="ru-RU"/>
        </w:rPr>
        <w:t>на ринку</w:t>
      </w:r>
      <w:proofErr w:type="gramEnd"/>
      <w:r w:rsidRPr="00F41348">
        <w:rPr>
          <w:rFonts w:ascii="Times New Roman" w:eastAsia="Times New Roman" w:hAnsi="Times New Roman" w:cs="Times New Roman"/>
          <w:color w:val="402A18"/>
          <w:sz w:val="28"/>
          <w:szCs w:val="28"/>
          <w:lang w:eastAsia="ru-RU"/>
        </w:rPr>
        <w:t xml:space="preserve"> суттєво впливає на ринкову ціну цінних паперів, тому має бути оцінений менеджментом у процесі формування портфеля. Підвищення відсоткових ставок призводить до зниження ринкової ціни раніше емітованих цінних паперів. При цьому інструменти з максимальним строком погашення, як правило, зазнають найбільших цінових спадів. У періоди економічного підйому попит на кредити зростає, відсоткові ставки підвищуються і банки для одержання додаткових кредитних ресурсів скорочують обсяг портфеля цінних паперів. Продаж цінних паперів </w:t>
      </w:r>
      <w:proofErr w:type="gramStart"/>
      <w:r w:rsidRPr="00F41348">
        <w:rPr>
          <w:rFonts w:ascii="Times New Roman" w:eastAsia="Times New Roman" w:hAnsi="Times New Roman" w:cs="Times New Roman"/>
          <w:color w:val="402A18"/>
          <w:sz w:val="28"/>
          <w:szCs w:val="28"/>
          <w:lang w:eastAsia="ru-RU"/>
        </w:rPr>
        <w:t>за таких умов</w:t>
      </w:r>
      <w:proofErr w:type="gramEnd"/>
      <w:r w:rsidRPr="00F41348">
        <w:rPr>
          <w:rFonts w:ascii="Times New Roman" w:eastAsia="Times New Roman" w:hAnsi="Times New Roman" w:cs="Times New Roman"/>
          <w:color w:val="402A18"/>
          <w:sz w:val="28"/>
          <w:szCs w:val="28"/>
          <w:lang w:eastAsia="ru-RU"/>
        </w:rPr>
        <w:t xml:space="preserve"> </w:t>
      </w:r>
      <w:r w:rsidRPr="00F41348">
        <w:rPr>
          <w:rFonts w:ascii="Times New Roman" w:eastAsia="Times New Roman" w:hAnsi="Times New Roman" w:cs="Times New Roman"/>
          <w:color w:val="402A18"/>
          <w:sz w:val="28"/>
          <w:szCs w:val="28"/>
          <w:lang w:eastAsia="ru-RU"/>
        </w:rPr>
        <w:lastRenderedPageBreak/>
        <w:t>через зниження ціни часто зав</w:t>
      </w:r>
      <w:r w:rsidRPr="00F41348">
        <w:rPr>
          <w:rFonts w:ascii="Times New Roman" w:eastAsia="Times New Roman" w:hAnsi="Times New Roman" w:cs="Times New Roman"/>
          <w:color w:val="402A18"/>
          <w:sz w:val="28"/>
          <w:szCs w:val="28"/>
          <w:lang w:eastAsia="ru-RU"/>
        </w:rPr>
        <w:softHyphen/>
        <w:t xml:space="preserve">дає відчутних збитків, які банк розраховує компенсувати за рахунок вищої дохідності кредитних операцій. У разі зниження відсоткових ставок </w:t>
      </w:r>
      <w:proofErr w:type="gramStart"/>
      <w:r w:rsidRPr="00F41348">
        <w:rPr>
          <w:rFonts w:ascii="Times New Roman" w:eastAsia="Times New Roman" w:hAnsi="Times New Roman" w:cs="Times New Roman"/>
          <w:color w:val="402A18"/>
          <w:sz w:val="28"/>
          <w:szCs w:val="28"/>
          <w:lang w:eastAsia="ru-RU"/>
        </w:rPr>
        <w:t>на ринку</w:t>
      </w:r>
      <w:proofErr w:type="gramEnd"/>
      <w:r w:rsidRPr="00F41348">
        <w:rPr>
          <w:rFonts w:ascii="Times New Roman" w:eastAsia="Times New Roman" w:hAnsi="Times New Roman" w:cs="Times New Roman"/>
          <w:color w:val="402A18"/>
          <w:sz w:val="28"/>
          <w:szCs w:val="28"/>
          <w:lang w:eastAsia="ru-RU"/>
        </w:rPr>
        <w:t xml:space="preserve"> ціни боргових цінних паперів підвищуються.</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Кредитний ризик цінних паперів — це ймовірність невиконання емітентом своїх зобов’язань з виплати основної суми боргу або процентів. Кредитний ризик притаманний більшій частині цінних паперів, що обертаються </w:t>
      </w:r>
      <w:proofErr w:type="gramStart"/>
      <w:r w:rsidRPr="00F41348">
        <w:rPr>
          <w:rFonts w:ascii="Times New Roman" w:eastAsia="Times New Roman" w:hAnsi="Times New Roman" w:cs="Times New Roman"/>
          <w:color w:val="402A18"/>
          <w:sz w:val="28"/>
          <w:szCs w:val="28"/>
          <w:lang w:eastAsia="ru-RU"/>
        </w:rPr>
        <w:t>на ринку</w:t>
      </w:r>
      <w:proofErr w:type="gramEnd"/>
      <w:r w:rsidRPr="00F41348">
        <w:rPr>
          <w:rFonts w:ascii="Times New Roman" w:eastAsia="Times New Roman" w:hAnsi="Times New Roman" w:cs="Times New Roman"/>
          <w:color w:val="402A18"/>
          <w:sz w:val="28"/>
          <w:szCs w:val="28"/>
          <w:lang w:eastAsia="ru-RU"/>
        </w:rPr>
        <w:t>, особливо тим, які емітовані приватними компаніями та місцевими органами влади. Безризиковими вважаються цінні папери уряду країни, хоча в окремих випадках з ними також пов’язується деякий, хоча і мінімальний, рівень кредитного ризику.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Для обмеження кредитного ризику цінних паперів менеджмент банку має ретельно проаналізувати фінансовий стан емітента й оцінити його кредитоспроможність. Крім того, необхідно вивчити стан галузі, в якій здійснює господарську діяльність емітент, характер обігу та умови емісії цінних паперів. Якщо ці показники задовольняють вимоги банку щодо якості цінних паперів, то їх включають до портфеля.</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На міжнародних ринках для визначення якості цінних паперів та рівня їхнього кредитного ризику використовують рейтинги емітента цінних паперів, пропоновані рейтинговими компаніями. Вважається, що цінні папери з рейтингом ВВВ і вище за шкалою Standard &amp; Poor’s, або Ваа і вище за шкалою Moody’s мають невисокий кредитний ризик і прийнятні для банківського портфеля (додаток 8). Цінні папери з нижчими рейтингами належать до групи спекулятивних і часто називаються «сміттєвими». У деяких країнах існують регулюючі правила, якими банкам не рекомендується придбання спекулятивних цінних паперів.</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Діловий ризик пов’язується з несприятливими явищами в економіці, такими як зниження обсягів виробництва, банкрутства, безробіття тощо. Безперечно, кризовий стан в економіці не може не позначитися на фінансовому стані емітентів, що, в свою чергу, призводить до підвищення кредитного та відсоткового ризику цінних паперів, а також ризику їх ліквідності.</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Вибираючи цінні папери, які могли б входити до банківського портфеля, менеджмент має враховувати рівень ділового ризику, для зниження якого застосовують метод диверсифікації. Галузева диверсифікація, тобто придбання цінних паперів емітентів, які працюють у різних галузях економіки, дозволяє суттєво знизити діловий ризик не тільки портфеля цінних паперів, а й загальний ризик банку. Обґрунтований вибір цінних паперів компенсує негативні наслідки економічного спаду в одній галузі підйомом в іншій, оскільки навіть </w:t>
      </w:r>
      <w:proofErr w:type="gramStart"/>
      <w:r w:rsidRPr="00F41348">
        <w:rPr>
          <w:rFonts w:ascii="Times New Roman" w:eastAsia="Times New Roman" w:hAnsi="Times New Roman" w:cs="Times New Roman"/>
          <w:color w:val="402A18"/>
          <w:sz w:val="28"/>
          <w:szCs w:val="28"/>
          <w:lang w:eastAsia="ru-RU"/>
        </w:rPr>
        <w:t>за умов</w:t>
      </w:r>
      <w:proofErr w:type="gramEnd"/>
      <w:r w:rsidRPr="00F41348">
        <w:rPr>
          <w:rFonts w:ascii="Times New Roman" w:eastAsia="Times New Roman" w:hAnsi="Times New Roman" w:cs="Times New Roman"/>
          <w:color w:val="402A18"/>
          <w:sz w:val="28"/>
          <w:szCs w:val="28"/>
          <w:lang w:eastAsia="ru-RU"/>
        </w:rPr>
        <w:t xml:space="preserve"> зниження ділової активності існують галузі, котрі розвиваються стабільно або навіть зростають.</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Географічна диверсифікація полягає в придбанні цінних паперів емітентів, які розміщені в різних економічних регіонах або за межами даної країни. Географічна диверсифікація допомагає мінімізувати діловий ризик, а отже, знизити загальний ризик банку. Метод географічної диверсифікації найкраще реалізується саме у процесі формування портфеля цінних паперів, оскільки не завжди існують можливості його застосування для зниження ризику кредитного портфеля.</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Тож у процесі прийняття рішення щодо купівлі чи продажу певних цінних паперів необхідно брати до уваги рівень ділового ризику емітента та його вплив на загальний ризик банківського портфеля цінних паперів і банку в цілому.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Рівень ризикованості цінного папера залежить і від тривалос</w:t>
      </w:r>
      <w:r w:rsidRPr="00F41348">
        <w:rPr>
          <w:rFonts w:ascii="Times New Roman" w:eastAsia="Times New Roman" w:hAnsi="Times New Roman" w:cs="Times New Roman"/>
          <w:color w:val="402A18"/>
          <w:sz w:val="28"/>
          <w:szCs w:val="28"/>
          <w:lang w:eastAsia="ru-RU"/>
        </w:rPr>
        <w:softHyphen/>
        <w:t xml:space="preserve">ті періоду обігу. Короткострокові цінні папери, як правило, виявляються менш ризикованими, оскільки всі перелічені щойно ризики протягом короткого періоду не реалізуються повною мірою. </w:t>
      </w:r>
      <w:r w:rsidRPr="00F41348">
        <w:rPr>
          <w:rFonts w:ascii="Times New Roman" w:eastAsia="Times New Roman" w:hAnsi="Times New Roman" w:cs="Times New Roman"/>
          <w:color w:val="402A18"/>
          <w:sz w:val="28"/>
          <w:szCs w:val="28"/>
          <w:lang w:eastAsia="ru-RU"/>
        </w:rPr>
        <w:lastRenderedPageBreak/>
        <w:t>Довгострокові цінні папери є більш ризикованими, але разом з тим приносять вищі доходи. Методи формування оптималь</w:t>
      </w:r>
      <w:r w:rsidRPr="00F41348">
        <w:rPr>
          <w:rFonts w:ascii="Times New Roman" w:eastAsia="Times New Roman" w:hAnsi="Times New Roman" w:cs="Times New Roman"/>
          <w:color w:val="402A18"/>
          <w:sz w:val="28"/>
          <w:szCs w:val="28"/>
          <w:lang w:eastAsia="ru-RU"/>
        </w:rPr>
        <w:softHyphen/>
        <w:t>ного з погляду строків погашення портфеля цінних паперів розглянуто нижче.</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Усі види ризиків, характерні для цінного папера, — відсотковий, кредитний, діловий, інфляційний, дострокового погашення та ризик ліквідності в сукупності формують загальний ризик даного інструменту, який порівнюється з його дохідністю. Менеджмент має вирішити питання про прийнятний </w:t>
      </w:r>
      <w:proofErr w:type="gramStart"/>
      <w:r w:rsidRPr="00F41348">
        <w:rPr>
          <w:rFonts w:ascii="Times New Roman" w:eastAsia="Times New Roman" w:hAnsi="Times New Roman" w:cs="Times New Roman"/>
          <w:color w:val="402A18"/>
          <w:sz w:val="28"/>
          <w:szCs w:val="28"/>
          <w:lang w:eastAsia="ru-RU"/>
        </w:rPr>
        <w:t>для банку</w:t>
      </w:r>
      <w:proofErr w:type="gramEnd"/>
      <w:r w:rsidRPr="00F41348">
        <w:rPr>
          <w:rFonts w:ascii="Times New Roman" w:eastAsia="Times New Roman" w:hAnsi="Times New Roman" w:cs="Times New Roman"/>
          <w:color w:val="402A18"/>
          <w:sz w:val="28"/>
          <w:szCs w:val="28"/>
          <w:lang w:eastAsia="ru-RU"/>
        </w:rPr>
        <w:t xml:space="preserve"> рівень ризику цінних паперів і серед всієї сукупності фінансових інструментів, які задовольняють ці вимоги, обрати найдохідніші.</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Методи оцінки ризику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Для визначення міри ризику використовуються різноманітні показники, представлені в основному, статистичними величинами, такими як дисперсія, стандартне відхилення, коефіцієнти кореляції і коваріації. Ці характеристики цінного папера показують, в якій мірі та з якою ймовірністю його фактична дохідність може відрізнятися від очікуваної. Величина ризику визначається за результатами аналізу реальних даних про дохідність цінних паперів за попередні періоди за допомогою статистичних методів.</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Для обчислення показників досліджують статистичну сукупність, сформовану зі спостережень за динамікою ринкової ціни цінного папера. Але тут виникає проблема, пов’язана з нестаціонарністю такої сукупності. Тому в процесі аналізу переходять від показників ціни (в абсолютному виразі) до статистичної сукупності, побудованої за показниками дохідності цінного папера (у відносних показниках, як правило відсотках).</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Найчастіше в процесі аналізу ризику цінного папера використовують коефіцієнт </w:t>
      </w:r>
      <w:r w:rsidRPr="007B527B">
        <w:rPr>
          <w:rFonts w:ascii="Times New Roman" w:eastAsia="Times New Roman" w:hAnsi="Times New Roman" w:cs="Times New Roman"/>
          <w:noProof/>
          <w:color w:val="402A18"/>
          <w:sz w:val="28"/>
          <w:szCs w:val="28"/>
          <w:lang w:eastAsia="ru-RU"/>
        </w:rPr>
        <w:drawing>
          <wp:inline distT="0" distB="0" distL="0" distR="0">
            <wp:extent cx="113030" cy="188595"/>
            <wp:effectExtent l="0" t="0" r="1270" b="1905"/>
            <wp:docPr id="55" name="Рисунок 55" descr="https://buklib.net/msohtml1/621/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klib.net/msohtml1/621/clip_image00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030" cy="188595"/>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xml:space="preserve">(бета). Для окремого цінного </w:t>
      </w:r>
      <w:proofErr w:type="gramStart"/>
      <w:r w:rsidRPr="00F41348">
        <w:rPr>
          <w:rFonts w:ascii="Times New Roman" w:eastAsia="Times New Roman" w:hAnsi="Times New Roman" w:cs="Times New Roman"/>
          <w:color w:val="402A18"/>
          <w:sz w:val="28"/>
          <w:szCs w:val="28"/>
          <w:lang w:eastAsia="ru-RU"/>
        </w:rPr>
        <w:t>папера </w:t>
      </w:r>
      <w:r w:rsidRPr="007B527B">
        <w:rPr>
          <w:rFonts w:ascii="Times New Roman" w:eastAsia="Times New Roman" w:hAnsi="Times New Roman" w:cs="Times New Roman"/>
          <w:noProof/>
          <w:color w:val="402A18"/>
          <w:sz w:val="28"/>
          <w:szCs w:val="28"/>
          <w:lang w:eastAsia="ru-RU"/>
        </w:rPr>
        <w:drawing>
          <wp:inline distT="0" distB="0" distL="0" distR="0">
            <wp:extent cx="113030" cy="188595"/>
            <wp:effectExtent l="0" t="0" r="1270" b="1905"/>
            <wp:docPr id="54" name="Рисунок 54" descr="https://buklib.net/msohtml1/621/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klib.net/msohtml1/621/clip_image00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030" cy="188595"/>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розраховують</w:t>
      </w:r>
      <w:proofErr w:type="gramEnd"/>
      <w:r w:rsidRPr="00F41348">
        <w:rPr>
          <w:rFonts w:ascii="Times New Roman" w:eastAsia="Times New Roman" w:hAnsi="Times New Roman" w:cs="Times New Roman"/>
          <w:color w:val="402A18"/>
          <w:sz w:val="28"/>
          <w:szCs w:val="28"/>
          <w:lang w:eastAsia="ru-RU"/>
        </w:rPr>
        <w:t xml:space="preserve"> як відношення коваріації дохідності папера та ринку в цілому до дисперсії дохідності ринку: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w:t>
      </w:r>
      <w:r w:rsidRPr="007B527B">
        <w:rPr>
          <w:rFonts w:ascii="Times New Roman" w:eastAsia="Times New Roman" w:hAnsi="Times New Roman" w:cs="Times New Roman"/>
          <w:noProof/>
          <w:color w:val="402A18"/>
          <w:sz w:val="28"/>
          <w:szCs w:val="28"/>
          <w:lang w:eastAsia="ru-RU"/>
        </w:rPr>
        <w:drawing>
          <wp:inline distT="0" distB="0" distL="0" distR="0">
            <wp:extent cx="640715" cy="424180"/>
            <wp:effectExtent l="0" t="0" r="6985" b="0"/>
            <wp:docPr id="53" name="Рисунок 53" descr="https://buklib.net/msohtml1/621/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klib.net/msohtml1/621/clip_image00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715" cy="424180"/>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(6.11)</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proofErr w:type="gramStart"/>
      <w:r w:rsidRPr="00F41348">
        <w:rPr>
          <w:rFonts w:ascii="Times New Roman" w:eastAsia="Times New Roman" w:hAnsi="Times New Roman" w:cs="Times New Roman"/>
          <w:color w:val="402A18"/>
          <w:sz w:val="28"/>
          <w:szCs w:val="28"/>
          <w:lang w:eastAsia="ru-RU"/>
        </w:rPr>
        <w:t>де </w:t>
      </w:r>
      <w:r w:rsidRPr="007B527B">
        <w:rPr>
          <w:rFonts w:ascii="Times New Roman" w:eastAsia="Times New Roman" w:hAnsi="Times New Roman" w:cs="Times New Roman"/>
          <w:noProof/>
          <w:color w:val="402A18"/>
          <w:sz w:val="28"/>
          <w:szCs w:val="28"/>
          <w:lang w:eastAsia="ru-RU"/>
        </w:rPr>
        <w:drawing>
          <wp:inline distT="0" distB="0" distL="0" distR="0">
            <wp:extent cx="113030" cy="188595"/>
            <wp:effectExtent l="0" t="0" r="1270" b="1905"/>
            <wp:docPr id="52" name="Рисунок 52" descr="https://buklib.net/msohtml1/621/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klib.net/msohtml1/621/clip_image00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030" cy="188595"/>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w:t>
      </w:r>
      <w:proofErr w:type="gramEnd"/>
      <w:r w:rsidRPr="00F41348">
        <w:rPr>
          <w:rFonts w:ascii="Times New Roman" w:eastAsia="Times New Roman" w:hAnsi="Times New Roman" w:cs="Times New Roman"/>
          <w:color w:val="402A18"/>
          <w:sz w:val="28"/>
          <w:szCs w:val="28"/>
          <w:lang w:eastAsia="ru-RU"/>
        </w:rPr>
        <w:t xml:space="preserve"> бета цінних паперів; covP,R — коваріація ціни цінного папера P та ринку R; </w:t>
      </w:r>
      <w:r w:rsidRPr="007B527B">
        <w:rPr>
          <w:rFonts w:ascii="Times New Roman" w:eastAsia="Times New Roman" w:hAnsi="Times New Roman" w:cs="Times New Roman"/>
          <w:noProof/>
          <w:color w:val="402A18"/>
          <w:sz w:val="28"/>
          <w:szCs w:val="28"/>
          <w:lang w:eastAsia="ru-RU"/>
        </w:rPr>
        <w:drawing>
          <wp:inline distT="0" distB="0" distL="0" distR="0">
            <wp:extent cx="188595" cy="216535"/>
            <wp:effectExtent l="0" t="0" r="1905" b="0"/>
            <wp:docPr id="51" name="Рисунок 51" descr="https://buklib.net/msohtml1/621/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klib.net/msohtml1/621/clip_image007.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 cy="216535"/>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 дисперсія ринку.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Коваріація змінних P i R представлена залежністю:</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w:t>
      </w:r>
      <w:r w:rsidRPr="007B527B">
        <w:rPr>
          <w:rFonts w:ascii="Times New Roman" w:eastAsia="Times New Roman" w:hAnsi="Times New Roman" w:cs="Times New Roman"/>
          <w:noProof/>
          <w:color w:val="402A18"/>
          <w:sz w:val="28"/>
          <w:szCs w:val="28"/>
          <w:lang w:eastAsia="ru-RU"/>
        </w:rPr>
        <w:drawing>
          <wp:inline distT="0" distB="0" distL="0" distR="0">
            <wp:extent cx="1743710" cy="348615"/>
            <wp:effectExtent l="0" t="0" r="8890" b="0"/>
            <wp:docPr id="50" name="Рисунок 50" descr="https://buklib.net/msohtml1/621/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klib.net/msohtml1/621/clip_image00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348615"/>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(6.12)</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proofErr w:type="gramStart"/>
      <w:r w:rsidRPr="00F41348">
        <w:rPr>
          <w:rFonts w:ascii="Times New Roman" w:eastAsia="Times New Roman" w:hAnsi="Times New Roman" w:cs="Times New Roman"/>
          <w:color w:val="402A18"/>
          <w:sz w:val="28"/>
          <w:szCs w:val="28"/>
          <w:lang w:eastAsia="ru-RU"/>
        </w:rPr>
        <w:t>де </w:t>
      </w:r>
      <w:r w:rsidRPr="007B527B">
        <w:rPr>
          <w:rFonts w:ascii="Times New Roman" w:eastAsia="Times New Roman" w:hAnsi="Times New Roman" w:cs="Times New Roman"/>
          <w:noProof/>
          <w:color w:val="402A18"/>
          <w:sz w:val="28"/>
          <w:szCs w:val="28"/>
          <w:lang w:eastAsia="ru-RU"/>
        </w:rPr>
        <w:drawing>
          <wp:inline distT="0" distB="0" distL="0" distR="0">
            <wp:extent cx="339090" cy="226060"/>
            <wp:effectExtent l="0" t="0" r="3810" b="2540"/>
            <wp:docPr id="49" name="Рисунок 49" descr="https://buklib.net/msohtml1/621/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klib.net/msohtml1/621/clip_image01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226060"/>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w:t>
      </w:r>
      <w:proofErr w:type="gramEnd"/>
      <w:r w:rsidRPr="00F41348">
        <w:rPr>
          <w:rFonts w:ascii="Times New Roman" w:eastAsia="Times New Roman" w:hAnsi="Times New Roman" w:cs="Times New Roman"/>
          <w:color w:val="402A18"/>
          <w:sz w:val="28"/>
          <w:szCs w:val="28"/>
          <w:lang w:eastAsia="ru-RU"/>
        </w:rPr>
        <w:t xml:space="preserve"> відповідно середні значення ряду.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Коефіцієнт кореляції показує тісноту залежності між двома рядами динаміки і може бути розрахований за формулою:</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w:t>
      </w:r>
      <w:r w:rsidRPr="007B527B">
        <w:rPr>
          <w:rFonts w:ascii="Times New Roman" w:eastAsia="Times New Roman" w:hAnsi="Times New Roman" w:cs="Times New Roman"/>
          <w:noProof/>
          <w:color w:val="402A18"/>
          <w:sz w:val="28"/>
          <w:szCs w:val="28"/>
          <w:lang w:eastAsia="ru-RU"/>
        </w:rPr>
        <w:drawing>
          <wp:inline distT="0" distB="0" distL="0" distR="0">
            <wp:extent cx="951865" cy="377190"/>
            <wp:effectExtent l="0" t="0" r="635" b="3810"/>
            <wp:docPr id="48" name="Рисунок 48" descr="https://buklib.net/msohtml1/621/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klib.net/msohtml1/621/clip_image01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865" cy="377190"/>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(6.13)</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де </w:t>
      </w:r>
      <w:proofErr w:type="gramStart"/>
      <w:r w:rsidRPr="00F41348">
        <w:rPr>
          <w:rFonts w:ascii="Times New Roman" w:eastAsia="Times New Roman" w:hAnsi="Times New Roman" w:cs="Times New Roman"/>
          <w:color w:val="402A18"/>
          <w:sz w:val="28"/>
          <w:szCs w:val="28"/>
          <w:lang w:eastAsia="ru-RU"/>
        </w:rPr>
        <w:t>cov(</w:t>
      </w:r>
      <w:proofErr w:type="gramEnd"/>
      <w:r w:rsidRPr="00F41348">
        <w:rPr>
          <w:rFonts w:ascii="Times New Roman" w:eastAsia="Times New Roman" w:hAnsi="Times New Roman" w:cs="Times New Roman"/>
          <w:color w:val="402A18"/>
          <w:sz w:val="28"/>
          <w:szCs w:val="28"/>
          <w:lang w:eastAsia="ru-RU"/>
        </w:rPr>
        <w:t>P, R) — коваріація змінних P i R; sP, sR — стандартні відхилення дохідності цінного папера та дохідності ринку відповідно.</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Стандартне відхилення показує, наскільки широкий розрив між значеннями конкретного спостереження та середнім значенням ряду, і обчислюється за формулою:</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w:t>
      </w:r>
      <w:r w:rsidRPr="007B527B">
        <w:rPr>
          <w:rFonts w:ascii="Times New Roman" w:eastAsia="Times New Roman" w:hAnsi="Times New Roman" w:cs="Times New Roman"/>
          <w:noProof/>
          <w:color w:val="402A18"/>
          <w:sz w:val="28"/>
          <w:szCs w:val="28"/>
          <w:lang w:eastAsia="ru-RU"/>
        </w:rPr>
        <w:drawing>
          <wp:inline distT="0" distB="0" distL="0" distR="0">
            <wp:extent cx="1329055" cy="386715"/>
            <wp:effectExtent l="0" t="0" r="4445" b="0"/>
            <wp:docPr id="47" name="Рисунок 47" descr="https://buklib.net/msohtml1/621/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klib.net/msohtml1/621/clip_image01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386715"/>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(6.14)</w:t>
      </w:r>
    </w:p>
    <w:p w:rsid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де Рi — значення доходу за цінним папером в i-му </w:t>
      </w:r>
      <w:proofErr w:type="gramStart"/>
      <w:r w:rsidRPr="00F41348">
        <w:rPr>
          <w:rFonts w:ascii="Times New Roman" w:eastAsia="Times New Roman" w:hAnsi="Times New Roman" w:cs="Times New Roman"/>
          <w:color w:val="402A18"/>
          <w:sz w:val="28"/>
          <w:szCs w:val="28"/>
          <w:lang w:eastAsia="ru-RU"/>
        </w:rPr>
        <w:t>спостереженні; </w:t>
      </w:r>
      <w:r w:rsidRPr="007B527B">
        <w:rPr>
          <w:rFonts w:ascii="Times New Roman" w:eastAsia="Times New Roman" w:hAnsi="Times New Roman" w:cs="Times New Roman"/>
          <w:noProof/>
          <w:color w:val="402A18"/>
          <w:sz w:val="28"/>
          <w:szCs w:val="28"/>
          <w:lang w:eastAsia="ru-RU"/>
        </w:rPr>
        <w:drawing>
          <wp:inline distT="0" distB="0" distL="0" distR="0">
            <wp:extent cx="141605" cy="188595"/>
            <wp:effectExtent l="0" t="0" r="0" b="1905"/>
            <wp:docPr id="46" name="Рисунок 46" descr="https://buklib.net/msohtml1/621/clip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klib.net/msohtml1/621/clip_image017.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05" cy="188595"/>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w:t>
      </w:r>
      <w:proofErr w:type="gramEnd"/>
      <w:r w:rsidRPr="00F41348">
        <w:rPr>
          <w:rFonts w:ascii="Times New Roman" w:eastAsia="Times New Roman" w:hAnsi="Times New Roman" w:cs="Times New Roman"/>
          <w:color w:val="402A18"/>
          <w:sz w:val="28"/>
          <w:szCs w:val="28"/>
          <w:lang w:eastAsia="ru-RU"/>
        </w:rPr>
        <w:t xml:space="preserve"> середнє значення ряду; n — кількість спостережень. Стандартне відхилення дохідності ринку обчислюється аналогічно. Квадрат стандартного відхилення називається дисперсією.</w:t>
      </w:r>
    </w:p>
    <w:p w:rsidR="00455EB3" w:rsidRPr="00F41348" w:rsidRDefault="00455EB3" w:rsidP="007B527B">
      <w:pPr>
        <w:spacing w:after="0" w:line="240" w:lineRule="auto"/>
        <w:ind w:firstLine="567"/>
        <w:jc w:val="both"/>
        <w:rPr>
          <w:rFonts w:ascii="Times New Roman" w:eastAsia="Times New Roman" w:hAnsi="Times New Roman" w:cs="Times New Roman"/>
          <w:color w:val="402A18"/>
          <w:sz w:val="28"/>
          <w:szCs w:val="28"/>
          <w:lang w:eastAsia="ru-RU"/>
        </w:rPr>
      </w:pP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lastRenderedPageBreak/>
        <w:t>Для обчислення коефіцієнта b необхідно мати дані про динаміку середньої дохідності фондового ринку. Як правило, показником дохідності фондового ринку вважають фондовий індекс, який користується на ньому найбільшою популярністю. На міжнародних ринках найчастіше використовують індекси компанії DOW JONES, зокрема DJIA (середня ціна акцій тридцяти найбіль</w:t>
      </w:r>
      <w:r w:rsidRPr="00F41348">
        <w:rPr>
          <w:rFonts w:ascii="Times New Roman" w:eastAsia="Times New Roman" w:hAnsi="Times New Roman" w:cs="Times New Roman"/>
          <w:color w:val="402A18"/>
          <w:sz w:val="28"/>
          <w:szCs w:val="28"/>
          <w:lang w:eastAsia="ru-RU"/>
        </w:rPr>
        <w:softHyphen/>
        <w:t>ших промислових компаній), S&amp;P 500 (Standard &amp; Poor’s), побудований на основі динаміки цін на акції п’ятисот найбільших компаній.</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На регіональних ринках застосовуються такі індекси: на ринках Європи — британський індекс FT-SE, на ринках Японії — індекс NIKKEI, в Німеччині — DAX, у Франції — САС, у Росії — РТС-Інтерфакс. В Україні — це ПФТС-індекс, який розраховується за офіційними результатами торгів простими акціями підприємств, що пройшли лістинг у позабалансовій фондовій торговельній системі (ПФТС). Офіційною датою початку розрахунків ПФТС-індексу вважається 1 жовтня 1997 р., базове значення — 100. Розраховується за принципом ринкового зважування, в основі якого — метод арифметичної середньої.</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Методика розрахунку фондових індексів передбачає формування ринкового портфеля, </w:t>
      </w:r>
      <w:proofErr w:type="gramStart"/>
      <w:r w:rsidRPr="00F41348">
        <w:rPr>
          <w:rFonts w:ascii="Times New Roman" w:eastAsia="Times New Roman" w:hAnsi="Times New Roman" w:cs="Times New Roman"/>
          <w:color w:val="402A18"/>
          <w:sz w:val="28"/>
          <w:szCs w:val="28"/>
          <w:lang w:eastAsia="ru-RU"/>
        </w:rPr>
        <w:t>до складу</w:t>
      </w:r>
      <w:proofErr w:type="gramEnd"/>
      <w:r w:rsidRPr="00F41348">
        <w:rPr>
          <w:rFonts w:ascii="Times New Roman" w:eastAsia="Times New Roman" w:hAnsi="Times New Roman" w:cs="Times New Roman"/>
          <w:color w:val="402A18"/>
          <w:sz w:val="28"/>
          <w:szCs w:val="28"/>
          <w:lang w:eastAsia="ru-RU"/>
        </w:rPr>
        <w:t xml:space="preserve"> якого включається від 30 (FT-SE-30) до 500 (S&amp;P 500) цінних паперів різних емітентів. Це дозволяє отримати широкодиверсифікований портфель, дохідність якого є об’єктивним індикатором стану фондового ринку.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proofErr w:type="gramStart"/>
      <w:r w:rsidRPr="00F41348">
        <w:rPr>
          <w:rFonts w:ascii="Times New Roman" w:eastAsia="Times New Roman" w:hAnsi="Times New Roman" w:cs="Times New Roman"/>
          <w:color w:val="402A18"/>
          <w:sz w:val="28"/>
          <w:szCs w:val="28"/>
          <w:lang w:eastAsia="ru-RU"/>
        </w:rPr>
        <w:t>Для ринку</w:t>
      </w:r>
      <w:proofErr w:type="gramEnd"/>
      <w:r w:rsidRPr="00F41348">
        <w:rPr>
          <w:rFonts w:ascii="Times New Roman" w:eastAsia="Times New Roman" w:hAnsi="Times New Roman" w:cs="Times New Roman"/>
          <w:color w:val="402A18"/>
          <w:sz w:val="28"/>
          <w:szCs w:val="28"/>
          <w:lang w:eastAsia="ru-RU"/>
        </w:rPr>
        <w:t> b-коефіцієнт приймається рівним одиниці, а кожна група цінних паперів має індивідуальний b-коефіцієнт, який є індексом їх дохідності відносно середньої дохідності ринку цінних паперів. За економічним змістом b-коефіцієнт показує, наскільки зміниться дохідність фінансового інструменту за зміни очікуваної дохідності ринку на 1 %.</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Для цінного папера з b </w:t>
      </w:r>
      <w:proofErr w:type="gramStart"/>
      <w:r w:rsidRPr="00F41348">
        <w:rPr>
          <w:rFonts w:ascii="Times New Roman" w:eastAsia="Times New Roman" w:hAnsi="Times New Roman" w:cs="Times New Roman"/>
          <w:color w:val="402A18"/>
          <w:sz w:val="28"/>
          <w:szCs w:val="28"/>
          <w:lang w:eastAsia="ru-RU"/>
        </w:rPr>
        <w:t>&lt; 1</w:t>
      </w:r>
      <w:proofErr w:type="gramEnd"/>
      <w:r w:rsidRPr="00F41348">
        <w:rPr>
          <w:rFonts w:ascii="Times New Roman" w:eastAsia="Times New Roman" w:hAnsi="Times New Roman" w:cs="Times New Roman"/>
          <w:color w:val="402A18"/>
          <w:sz w:val="28"/>
          <w:szCs w:val="28"/>
          <w:lang w:eastAsia="ru-RU"/>
        </w:rPr>
        <w:t xml:space="preserve"> зміни кон’юнктури ринку меншою мірою позначаться на його дохідності, тоді як дохідність інструменту з b &gt; 1 зміниться більше порівняно з дохідністю всього ринку. Для «блакитних фішок» значення b-коефі</w:t>
      </w:r>
      <w:r w:rsidRPr="00F41348">
        <w:rPr>
          <w:rFonts w:ascii="Times New Roman" w:eastAsia="Times New Roman" w:hAnsi="Times New Roman" w:cs="Times New Roman"/>
          <w:color w:val="402A18"/>
          <w:sz w:val="28"/>
          <w:szCs w:val="28"/>
          <w:lang w:eastAsia="ru-RU"/>
        </w:rPr>
        <w:softHyphen/>
        <w:t>цієнтів нижчі одиниці, проте здебільшого значення b-коефі</w:t>
      </w:r>
      <w:r w:rsidRPr="00F41348">
        <w:rPr>
          <w:rFonts w:ascii="Times New Roman" w:eastAsia="Times New Roman" w:hAnsi="Times New Roman" w:cs="Times New Roman"/>
          <w:color w:val="402A18"/>
          <w:sz w:val="28"/>
          <w:szCs w:val="28"/>
          <w:lang w:eastAsia="ru-RU"/>
        </w:rPr>
        <w:softHyphen/>
        <w:t>цієнтів коливаються в інтервалі від 0,5 до 2,0.</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Для цінних паперів, які активно обертаються на міжнародних ринках, значення b-коефіцієнтів розраховуються та публікуються аналітичними компаніями. Зокрема такий аналіз проводить банківський дім Merrill Lynch, компанія «Value Line» та ін. Слід зазначити, що єдиної методики розрахунку b-коефіцієнта не існує, зокрема розбіжності стосуються періодичності та кількості статистичних спостережень, тому ці показники, розраховані різними учасниками ринку, можуть відрізнятися.</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xml:space="preserve">В Україні аналіз подібних індикаторів ризику ускладнюється через брак історичної інформації. Зазначимо, що </w:t>
      </w:r>
      <w:proofErr w:type="gramStart"/>
      <w:r w:rsidRPr="00F41348">
        <w:rPr>
          <w:rFonts w:ascii="Times New Roman" w:eastAsia="Times New Roman" w:hAnsi="Times New Roman" w:cs="Times New Roman"/>
          <w:color w:val="402A18"/>
          <w:sz w:val="28"/>
          <w:szCs w:val="28"/>
          <w:lang w:eastAsia="ru-RU"/>
        </w:rPr>
        <w:t>для ринку</w:t>
      </w:r>
      <w:proofErr w:type="gramEnd"/>
      <w:r w:rsidRPr="00F41348">
        <w:rPr>
          <w:rFonts w:ascii="Times New Roman" w:eastAsia="Times New Roman" w:hAnsi="Times New Roman" w:cs="Times New Roman"/>
          <w:color w:val="402A18"/>
          <w:sz w:val="28"/>
          <w:szCs w:val="28"/>
          <w:lang w:eastAsia="ru-RU"/>
        </w:rPr>
        <w:t xml:space="preserve"> акцій b-коефіцієнти дуже нестабільні, тому портфельні інвестори все час</w:t>
      </w:r>
      <w:r w:rsidRPr="00F41348">
        <w:rPr>
          <w:rFonts w:ascii="Times New Roman" w:eastAsia="Times New Roman" w:hAnsi="Times New Roman" w:cs="Times New Roman"/>
          <w:color w:val="402A18"/>
          <w:sz w:val="28"/>
          <w:szCs w:val="28"/>
          <w:lang w:eastAsia="ru-RU"/>
        </w:rPr>
        <w:softHyphen/>
        <w:t>тіше аналізують динаміку таких коефіцієнтів як співвідношення ціни акції і доходів або балансової вартості та ринкової ціни акції. Останні дослідження зарубіжних фахівців свідчать, що ці показники, обчислені за даними фінансової звітності емітентів, є надійнішими орієнтирами в процесі прогнозування, ніж b-коефіцієнти.</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Отже, за економічним змістом, чим вищі значення показників стандартного відхилення та b-коефіцієнта цінного папера, тим вищий пов’язаний з ним ризик. При цьому стандартне відхилення характеризує ризик цінного папера в абсолютному вимірі (через показники дохідності), а b-коефіцієнт — у відносному (стосовно ринку). Разом з тим вищий ризик означає потенційну можливість отримання вищих доходів. За результатами аналізу цих показників формують портфель цінних паперів, ризик якого теж вимірюється стандартним відхиленням та коефіцієнтом бета.</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Коефіцієнт бета для портфеля в цілому розраховується як середньозважене значення b-коефіцієнтів тих груп цінних паперів, які входять до його складу, з урахуванням їх питомої ваги в струк</w:t>
      </w:r>
      <w:r w:rsidRPr="00F41348">
        <w:rPr>
          <w:rFonts w:ascii="Times New Roman" w:eastAsia="Times New Roman" w:hAnsi="Times New Roman" w:cs="Times New Roman"/>
          <w:color w:val="402A18"/>
          <w:sz w:val="28"/>
          <w:szCs w:val="28"/>
          <w:lang w:eastAsia="ru-RU"/>
        </w:rPr>
        <w:softHyphen/>
        <w:t>турі портфеля. Тож якщо до банківського портфеля включено різ</w:t>
      </w:r>
      <w:r w:rsidRPr="00F41348">
        <w:rPr>
          <w:rFonts w:ascii="Times New Roman" w:eastAsia="Times New Roman" w:hAnsi="Times New Roman" w:cs="Times New Roman"/>
          <w:color w:val="402A18"/>
          <w:sz w:val="28"/>
          <w:szCs w:val="28"/>
          <w:lang w:eastAsia="ru-RU"/>
        </w:rPr>
        <w:softHyphen/>
        <w:t xml:space="preserve">ні групи цінних </w:t>
      </w:r>
      <w:r w:rsidRPr="00F41348">
        <w:rPr>
          <w:rFonts w:ascii="Times New Roman" w:eastAsia="Times New Roman" w:hAnsi="Times New Roman" w:cs="Times New Roman"/>
          <w:color w:val="402A18"/>
          <w:sz w:val="28"/>
          <w:szCs w:val="28"/>
          <w:lang w:eastAsia="ru-RU"/>
        </w:rPr>
        <w:lastRenderedPageBreak/>
        <w:t>паперів, то для кожної з них окремо визначають коефіцієнт bі (див. формулу 6.11), після чого знаходять бета портфеля (bр):</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w:t>
      </w:r>
      <w:r w:rsidRPr="007B527B">
        <w:rPr>
          <w:rFonts w:ascii="Times New Roman" w:eastAsia="Times New Roman" w:hAnsi="Times New Roman" w:cs="Times New Roman"/>
          <w:noProof/>
          <w:color w:val="402A18"/>
          <w:sz w:val="28"/>
          <w:szCs w:val="28"/>
          <w:lang w:eastAsia="ru-RU"/>
        </w:rPr>
        <w:drawing>
          <wp:inline distT="0" distB="0" distL="0" distR="0">
            <wp:extent cx="725805" cy="339090"/>
            <wp:effectExtent l="0" t="0" r="0" b="3810"/>
            <wp:docPr id="45" name="Рисунок 45" descr="https://buklib.net/msohtml1/621/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klib.net/msohtml1/621/clip_image01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339090"/>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(6.15)</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де bі — коефіцієнт бета і-ї групи цінних паперів; gі — питома вага і-ї групи цінних паперів у портфелі; n — кількість груп цінних паперів у портфелі банку. Відповідно до значення bр-коефіцієнта банківські портфелі цінних паперів поділяють на агресивні (b</w:t>
      </w:r>
      <w:proofErr w:type="gramStart"/>
      <w:r w:rsidRPr="00F41348">
        <w:rPr>
          <w:rFonts w:ascii="Times New Roman" w:eastAsia="Times New Roman" w:hAnsi="Times New Roman" w:cs="Times New Roman"/>
          <w:color w:val="402A18"/>
          <w:sz w:val="28"/>
          <w:szCs w:val="28"/>
          <w:lang w:eastAsia="ru-RU"/>
        </w:rPr>
        <w:t>р &gt;</w:t>
      </w:r>
      <w:proofErr w:type="gramEnd"/>
      <w:r w:rsidRPr="00F41348">
        <w:rPr>
          <w:rFonts w:ascii="Times New Roman" w:eastAsia="Times New Roman" w:hAnsi="Times New Roman" w:cs="Times New Roman"/>
          <w:color w:val="402A18"/>
          <w:sz w:val="28"/>
          <w:szCs w:val="28"/>
          <w:lang w:eastAsia="ru-RU"/>
        </w:rPr>
        <w:t> 1) та захисні (bр &lt; 1). Якщо bр = 1, то ризик портфеля збігається з ризиком системи, а портфель називається індексним.</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Стандартне відхилення портфеля цінних паперів обчислити складніше, оскільки в розрахунках bi-коефіцієнтів взаємовплив дохідностей інструментів уже враховано через коефіцієнти коваріації та кореляції, а в стандартному відхиленні їх необхідно врахувати окремо. Стандартне відхилення портфеля цінних паперів знаходять за формулою:</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w:t>
      </w:r>
      <w:r w:rsidRPr="007B527B">
        <w:rPr>
          <w:rFonts w:ascii="Times New Roman" w:eastAsia="Times New Roman" w:hAnsi="Times New Roman" w:cs="Times New Roman"/>
          <w:noProof/>
          <w:color w:val="402A18"/>
          <w:sz w:val="28"/>
          <w:szCs w:val="28"/>
          <w:lang w:eastAsia="ru-RU"/>
        </w:rPr>
        <w:drawing>
          <wp:inline distT="0" distB="0" distL="0" distR="0">
            <wp:extent cx="1602740" cy="405130"/>
            <wp:effectExtent l="0" t="0" r="0" b="0"/>
            <wp:docPr id="44" name="Рисунок 44" descr="https://buklib.net/msohtml1/621/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klib.net/msohtml1/621/clip_image02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2740" cy="405130"/>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(6.16)</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або</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w:t>
      </w:r>
      <w:r w:rsidRPr="007B527B">
        <w:rPr>
          <w:rFonts w:ascii="Times New Roman" w:eastAsia="Times New Roman" w:hAnsi="Times New Roman" w:cs="Times New Roman"/>
          <w:noProof/>
          <w:color w:val="402A18"/>
          <w:sz w:val="28"/>
          <w:szCs w:val="28"/>
          <w:lang w:eastAsia="ru-RU"/>
        </w:rPr>
        <w:drawing>
          <wp:inline distT="0" distB="0" distL="0" distR="0">
            <wp:extent cx="2517140" cy="386715"/>
            <wp:effectExtent l="0" t="0" r="0" b="0"/>
            <wp:docPr id="43" name="Рисунок 43" descr="https://buklib.net/msohtml1/621/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klib.net/msohtml1/621/clip_image02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140" cy="386715"/>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    (6.17)</w:t>
      </w:r>
    </w:p>
    <w:p w:rsid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де sp — стандартне відхилення портфеля; </w:t>
      </w:r>
      <w:proofErr w:type="gramStart"/>
      <w:r w:rsidRPr="00F41348">
        <w:rPr>
          <w:rFonts w:ascii="Times New Roman" w:eastAsia="Times New Roman" w:hAnsi="Times New Roman" w:cs="Times New Roman"/>
          <w:color w:val="402A18"/>
          <w:sz w:val="28"/>
          <w:szCs w:val="28"/>
          <w:lang w:eastAsia="ru-RU"/>
        </w:rPr>
        <w:t>si,sj</w:t>
      </w:r>
      <w:proofErr w:type="gramEnd"/>
      <w:r w:rsidRPr="00F41348">
        <w:rPr>
          <w:rFonts w:ascii="Times New Roman" w:eastAsia="Times New Roman" w:hAnsi="Times New Roman" w:cs="Times New Roman"/>
          <w:color w:val="402A18"/>
          <w:sz w:val="28"/>
          <w:szCs w:val="28"/>
          <w:lang w:eastAsia="ru-RU"/>
        </w:rPr>
        <w:t xml:space="preserve"> — стандартні відхилення i-ї та j-ї груп цінних паперів у портфелі банку; gi,gj — питома вага i-ї та j-ї груп цінних паперів у портфелі банку; rij — кореляція дохідностей i-ї та j-ї груп цінних паперів.</w:t>
      </w:r>
    </w:p>
    <w:p w:rsidR="00455EB3" w:rsidRPr="00F41348" w:rsidRDefault="00455EB3" w:rsidP="007B527B">
      <w:pPr>
        <w:spacing w:after="0" w:line="240" w:lineRule="auto"/>
        <w:ind w:firstLine="567"/>
        <w:jc w:val="both"/>
        <w:rPr>
          <w:rFonts w:ascii="Times New Roman" w:eastAsia="Times New Roman" w:hAnsi="Times New Roman" w:cs="Times New Roman"/>
          <w:color w:val="402A18"/>
          <w:sz w:val="28"/>
          <w:szCs w:val="28"/>
          <w:lang w:eastAsia="ru-RU"/>
        </w:rPr>
      </w:pP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Із останнього співвідношення випливає, що портфельний ризик складається з двох частин. Перший доданок відображає ризик, зумовлений тільки дисперсіями дохідностей окремих цінних паперів. Цей ризик називають несистемним, або індивідуальним, оскільки він зумовлений невизначеністю діяльності конкретного емітента цінних паперів. Для зниження несистемного ризику застосовується метод диверсифікації (включення до портфеля різних за характеристиками цінних паперів).</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Друга складова показує системний ризик, який є частиною загального ризику системи, залежить від стану економіки в цілому і зумовлюється макроекономічними чинниками, такими як динаміка інвестицій, обсяги зовнішньої торгівлі, зміни податкової політики, стан платіжного балансу, а тому наявний у діяльності всіх суб’єктів господарського процесу. Системний ризик не можна знизити диверсифікацією, тому його називають недиверсифікованим, або ринковим.</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Отже, диверсифікований портфель характеризується тільки системним ризиком, який вимірюють за допомогою коефіцієнта bp. Ризик недиверсифікованого портфеля вимірюється стандартним відхиленням — sp.</w:t>
      </w:r>
    </w:p>
    <w:p w:rsidR="00EC77AB" w:rsidRDefault="00EC77AB" w:rsidP="007B527B">
      <w:pPr>
        <w:spacing w:after="0" w:line="240" w:lineRule="auto"/>
        <w:ind w:firstLine="567"/>
        <w:jc w:val="both"/>
        <w:rPr>
          <w:rFonts w:ascii="Times New Roman" w:eastAsia="Times New Roman" w:hAnsi="Times New Roman" w:cs="Times New Roman"/>
          <w:color w:val="402A18"/>
          <w:sz w:val="28"/>
          <w:szCs w:val="28"/>
          <w:lang w:eastAsia="ru-RU"/>
        </w:rPr>
      </w:pPr>
    </w:p>
    <w:p w:rsidR="00EC77AB" w:rsidRDefault="00EC77AB" w:rsidP="007B527B">
      <w:pPr>
        <w:spacing w:after="0" w:line="240" w:lineRule="auto"/>
        <w:ind w:firstLine="567"/>
        <w:jc w:val="both"/>
        <w:rPr>
          <w:rFonts w:ascii="Times New Roman" w:eastAsia="Times New Roman" w:hAnsi="Times New Roman" w:cs="Times New Roman"/>
          <w:color w:val="402A18"/>
          <w:sz w:val="28"/>
          <w:szCs w:val="28"/>
          <w:lang w:eastAsia="ru-RU"/>
        </w:rPr>
      </w:pP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Питання щодо кількості груп цінних паперів, необхідних для досягнення ефекту диверсифікації, інвестори вирішують по-різному, але вважається, що їх має бути принаймні 20—30. Формуючи диверсифікований портфель, інвестори дотримуються правила, щоб частка цінних паперів однієї групи в обсязі портфеля не перевищувала 5 %. Такий підхід дозволяє сформувати ефек</w:t>
      </w:r>
      <w:r w:rsidRPr="00F41348">
        <w:rPr>
          <w:rFonts w:ascii="Times New Roman" w:eastAsia="Times New Roman" w:hAnsi="Times New Roman" w:cs="Times New Roman"/>
          <w:color w:val="402A18"/>
          <w:sz w:val="28"/>
          <w:szCs w:val="28"/>
          <w:lang w:eastAsia="ru-RU"/>
        </w:rPr>
        <w:softHyphen/>
        <w:t>тивний портфель, тобто такий набір цінних паперів, який взаємно компенсує коливання дохідності за різними інструментами, коли недоодержання доходів за одним цінним папером компенсується підвищеною дохідністю іншого.</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lastRenderedPageBreak/>
        <w:t xml:space="preserve">Поняття системного і несистемного ризиків дають можливість з’ясувати декілька важливих моментів, які має враховувати менеджмент банку в процесі формування портфеля цінних паперів. По-перше, якщо дохідності цінних паперів не є абсолютно </w:t>
      </w:r>
      <w:proofErr w:type="gramStart"/>
      <w:r w:rsidRPr="00F41348">
        <w:rPr>
          <w:rFonts w:ascii="Times New Roman" w:eastAsia="Times New Roman" w:hAnsi="Times New Roman" w:cs="Times New Roman"/>
          <w:color w:val="402A18"/>
          <w:sz w:val="28"/>
          <w:szCs w:val="28"/>
          <w:lang w:eastAsia="ru-RU"/>
        </w:rPr>
        <w:t>корельовані </w:t>
      </w:r>
      <w:r w:rsidRPr="007B527B">
        <w:rPr>
          <w:rFonts w:ascii="Times New Roman" w:eastAsia="Times New Roman" w:hAnsi="Times New Roman" w:cs="Times New Roman"/>
          <w:noProof/>
          <w:color w:val="402A18"/>
          <w:sz w:val="28"/>
          <w:szCs w:val="28"/>
          <w:lang w:eastAsia="ru-RU"/>
        </w:rPr>
        <w:drawing>
          <wp:inline distT="0" distB="0" distL="0" distR="0">
            <wp:extent cx="424180" cy="226060"/>
            <wp:effectExtent l="0" t="0" r="0" b="2540"/>
            <wp:docPr id="42" name="Рисунок 42" descr="https://buklib.net/msohtml1/621/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klib.net/msohtml1/621/clip_image02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180" cy="226060"/>
                    </a:xfrm>
                    <a:prstGeom prst="rect">
                      <a:avLst/>
                    </a:prstGeom>
                    <a:noFill/>
                    <a:ln>
                      <a:noFill/>
                    </a:ln>
                  </pic:spPr>
                </pic:pic>
              </a:graphicData>
            </a:graphic>
          </wp:inline>
        </w:drawing>
      </w:r>
      <w:r w:rsidRPr="00F41348">
        <w:rPr>
          <w:rFonts w:ascii="Times New Roman" w:eastAsia="Times New Roman" w:hAnsi="Times New Roman" w:cs="Times New Roman"/>
          <w:color w:val="402A18"/>
          <w:sz w:val="28"/>
          <w:szCs w:val="28"/>
          <w:lang w:eastAsia="ru-RU"/>
        </w:rPr>
        <w:t>,</w:t>
      </w:r>
      <w:proofErr w:type="gramEnd"/>
      <w:r w:rsidRPr="00F41348">
        <w:rPr>
          <w:rFonts w:ascii="Times New Roman" w:eastAsia="Times New Roman" w:hAnsi="Times New Roman" w:cs="Times New Roman"/>
          <w:color w:val="402A18"/>
          <w:sz w:val="28"/>
          <w:szCs w:val="28"/>
          <w:lang w:eastAsia="ru-RU"/>
        </w:rPr>
        <w:t xml:space="preserve"> то диверсифікація портфеля сприяє зниженню ризику портфеля за збереження дохідності. </w:t>
      </w:r>
      <w:proofErr w:type="gramStart"/>
      <w:r w:rsidRPr="00F41348">
        <w:rPr>
          <w:rFonts w:ascii="Times New Roman" w:eastAsia="Times New Roman" w:hAnsi="Times New Roman" w:cs="Times New Roman"/>
          <w:color w:val="402A18"/>
          <w:sz w:val="28"/>
          <w:szCs w:val="28"/>
          <w:lang w:eastAsia="ru-RU"/>
        </w:rPr>
        <w:t>По-друге</w:t>
      </w:r>
      <w:proofErr w:type="gramEnd"/>
      <w:r w:rsidRPr="00F41348">
        <w:rPr>
          <w:rFonts w:ascii="Times New Roman" w:eastAsia="Times New Roman" w:hAnsi="Times New Roman" w:cs="Times New Roman"/>
          <w:color w:val="402A18"/>
          <w:sz w:val="28"/>
          <w:szCs w:val="28"/>
          <w:lang w:eastAsia="ru-RU"/>
        </w:rPr>
        <w:t>, для диверсифікованого портфеля несистемний ризик можна не враховувати, оскільки він наближається до нуля. По-третє, оскільки систем</w:t>
      </w:r>
      <w:r w:rsidRPr="00F41348">
        <w:rPr>
          <w:rFonts w:ascii="Times New Roman" w:eastAsia="Times New Roman" w:hAnsi="Times New Roman" w:cs="Times New Roman"/>
          <w:color w:val="402A18"/>
          <w:sz w:val="28"/>
          <w:szCs w:val="28"/>
          <w:lang w:eastAsia="ru-RU"/>
        </w:rPr>
        <w:softHyphen/>
        <w:t>ного ризику уникнути неможливо, то саме цей ризик і слід оцінювати в процесі формування стратегії управління інвестиційним портфелем банку.</w:t>
      </w:r>
    </w:p>
    <w:p w:rsidR="00455EB3" w:rsidRDefault="00455EB3" w:rsidP="00455EB3">
      <w:pPr>
        <w:spacing w:after="0" w:line="240" w:lineRule="auto"/>
        <w:ind w:firstLine="567"/>
        <w:rPr>
          <w:rFonts w:ascii="Times New Roman" w:eastAsia="Times New Roman" w:hAnsi="Times New Roman" w:cs="Times New Roman"/>
          <w:color w:val="402A18"/>
          <w:sz w:val="28"/>
          <w:szCs w:val="28"/>
          <w:lang w:eastAsia="ru-RU"/>
        </w:rPr>
      </w:pPr>
    </w:p>
    <w:p w:rsidR="00F41348" w:rsidRPr="00F41348" w:rsidRDefault="00F41348" w:rsidP="00455EB3">
      <w:pPr>
        <w:spacing w:after="0" w:line="240" w:lineRule="auto"/>
        <w:ind w:firstLine="567"/>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Ефективність управління портфелем</w:t>
      </w:r>
      <w:r w:rsidR="00455EB3">
        <w:rPr>
          <w:rFonts w:ascii="Times New Roman" w:eastAsia="Times New Roman" w:hAnsi="Times New Roman" w:cs="Times New Roman"/>
          <w:color w:val="402A18"/>
          <w:sz w:val="28"/>
          <w:szCs w:val="28"/>
          <w:lang w:val="uk-UA" w:eastAsia="ru-RU"/>
        </w:rPr>
        <w:t xml:space="preserve"> </w:t>
      </w:r>
      <w:r w:rsidRPr="00F41348">
        <w:rPr>
          <w:rFonts w:ascii="Times New Roman" w:eastAsia="Times New Roman" w:hAnsi="Times New Roman" w:cs="Times New Roman"/>
          <w:color w:val="402A18"/>
          <w:sz w:val="28"/>
          <w:szCs w:val="28"/>
          <w:lang w:eastAsia="ru-RU"/>
        </w:rPr>
        <w:t>цінних паперів банку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Ефективність управління портфелем цінних паперів банку визначається за співвідношенням дохідності та ризикованості портфеля. Це дає змогу банкові оцінити, чи достатня очікувана дохідність портфеля цінних паперів для компенсації пов’язаного з ним ризику.</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Залежність між очікуваною дохідністю та ризиком портфеля цінних паперів досліджують за допомогою моделі оцінки дохідності фінансових активів (САРМ). Цю модель було розроблено В. Шарпом на базі теорії вибору ефективного портфеля фінансових інвестицій, сформульованої Г. Марковіцем в 1950-х роках. У подальшому цей підхід удосконалили такі вчені, як Р. Трейнор, Дж. Лінтнер, М. Дженсен та</w:t>
      </w:r>
      <w:r w:rsidRPr="00F41348">
        <w:rPr>
          <w:rFonts w:ascii="Times New Roman" w:eastAsia="Times New Roman" w:hAnsi="Times New Roman" w:cs="Times New Roman"/>
          <w:color w:val="402A18"/>
          <w:sz w:val="28"/>
          <w:szCs w:val="28"/>
          <w:lang w:eastAsia="ru-RU"/>
        </w:rPr>
        <w:br/>
        <w:t>інші.</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Згідно з основними положеннями моделі САРМ дохідність портфеля цінних паперів (dp) розглядається як функція трьох змінних: системного ризику портфеля (bр), очікуваної дохідності ринкового портфеля (dm) та ставки доходу за безризиковими цінними паперами (d0). Залежність між очікуваною дохідністю та ризиком виражається формулою:</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dp = d0 + bp × (dm – d0</w:t>
      </w:r>
      <w:proofErr w:type="gramStart"/>
      <w:r w:rsidRPr="00F41348">
        <w:rPr>
          <w:rFonts w:ascii="Times New Roman" w:eastAsia="Times New Roman" w:hAnsi="Times New Roman" w:cs="Times New Roman"/>
          <w:color w:val="402A18"/>
          <w:sz w:val="28"/>
          <w:szCs w:val="28"/>
          <w:lang w:eastAsia="ru-RU"/>
        </w:rPr>
        <w:t>) .</w:t>
      </w:r>
      <w:proofErr w:type="gramEnd"/>
      <w:r w:rsidRPr="00F41348">
        <w:rPr>
          <w:rFonts w:ascii="Times New Roman" w:eastAsia="Times New Roman" w:hAnsi="Times New Roman" w:cs="Times New Roman"/>
          <w:color w:val="402A18"/>
          <w:sz w:val="28"/>
          <w:szCs w:val="28"/>
          <w:lang w:eastAsia="ru-RU"/>
        </w:rPr>
        <w:t>   </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За економічним змістом перевищення дохідності портфеля над ставкою без ризику є премією, що її банк отримує за ризик, який він узяв на себе, придбавши певні цінні папери в процесі формування портфеля.</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На основі моделі САРМ оцінюється ефективність управління портфелем цінних паперів. Коефіцієнт ефективності розраховується як відношення різниці між дохідністю портфеля (реальною або очікуваною) та безризиковою ставкою до показника, який відображає ризик портфеля. В теорії управління обґрунтовано декілька коефіцієнтів ефективності, які можуть бути використані в процесі аналізу та прийняття управлінських рішень. У цілому кое</w:t>
      </w:r>
      <w:r w:rsidRPr="00F41348">
        <w:rPr>
          <w:rFonts w:ascii="Times New Roman" w:eastAsia="Times New Roman" w:hAnsi="Times New Roman" w:cs="Times New Roman"/>
          <w:color w:val="402A18"/>
          <w:sz w:val="28"/>
          <w:szCs w:val="28"/>
          <w:lang w:eastAsia="ru-RU"/>
        </w:rPr>
        <w:softHyphen/>
        <w:t>фіцієнти ефективності управління портфелями цінних паперів мають однакову структуру, але відрізняються за способами вимірювання ризикованості портфеля.</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Для визначення ефективності диверсифікованого портфеля використовують коефіцієнт Трейнора (kT):</w:t>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         </w:t>
      </w:r>
      <w:r w:rsidRPr="007B527B">
        <w:rPr>
          <w:rFonts w:ascii="Times New Roman" w:eastAsia="Times New Roman" w:hAnsi="Times New Roman" w:cs="Times New Roman"/>
          <w:noProof/>
          <w:color w:val="402A18"/>
          <w:sz w:val="28"/>
          <w:szCs w:val="28"/>
          <w:lang w:eastAsia="ru-RU"/>
        </w:rPr>
        <w:drawing>
          <wp:inline distT="0" distB="0" distL="0" distR="0">
            <wp:extent cx="754380" cy="424180"/>
            <wp:effectExtent l="0" t="0" r="7620" b="0"/>
            <wp:docPr id="41" name="Рисунок 41" descr="https://buklib.net/msohtml1/621/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klib.net/msohtml1/621/clip_image02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 cy="424180"/>
                    </a:xfrm>
                    <a:prstGeom prst="rect">
                      <a:avLst/>
                    </a:prstGeom>
                    <a:noFill/>
                    <a:ln>
                      <a:noFill/>
                    </a:ln>
                  </pic:spPr>
                </pic:pic>
              </a:graphicData>
            </a:graphic>
          </wp:inline>
        </w:drawing>
      </w:r>
    </w:p>
    <w:p w:rsidR="00F41348" w:rsidRPr="00F41348" w:rsidRDefault="00F41348" w:rsidP="007B527B">
      <w:pPr>
        <w:spacing w:after="0" w:line="240" w:lineRule="auto"/>
        <w:ind w:firstLine="567"/>
        <w:jc w:val="both"/>
        <w:rPr>
          <w:rFonts w:ascii="Times New Roman" w:eastAsia="Times New Roman" w:hAnsi="Times New Roman" w:cs="Times New Roman"/>
          <w:color w:val="402A18"/>
          <w:sz w:val="28"/>
          <w:szCs w:val="28"/>
          <w:lang w:eastAsia="ru-RU"/>
        </w:rPr>
      </w:pPr>
      <w:r w:rsidRPr="00F41348">
        <w:rPr>
          <w:rFonts w:ascii="Times New Roman" w:eastAsia="Times New Roman" w:hAnsi="Times New Roman" w:cs="Times New Roman"/>
          <w:color w:val="402A18"/>
          <w:sz w:val="28"/>
          <w:szCs w:val="28"/>
          <w:lang w:eastAsia="ru-RU"/>
        </w:rPr>
        <w:t>де dp — дохідність портфеля інвестора за період, що аналізується; d0 — середня безризикова ставка за той самий період.</w:t>
      </w:r>
    </w:p>
    <w:p w:rsidR="006D51F4" w:rsidRDefault="006D51F4" w:rsidP="006D51F4">
      <w:pPr>
        <w:ind w:firstLine="567"/>
        <w:rPr>
          <w:rFonts w:ascii="Times New Roman" w:hAnsi="Times New Roman" w:cs="Times New Roman"/>
          <w:sz w:val="28"/>
          <w:szCs w:val="28"/>
        </w:rPr>
      </w:pPr>
    </w:p>
    <w:p w:rsidR="006D51F4" w:rsidRDefault="006D51F4" w:rsidP="006D51F4">
      <w:pPr>
        <w:ind w:firstLine="567"/>
        <w:rPr>
          <w:rFonts w:ascii="Times New Roman" w:hAnsi="Times New Roman" w:cs="Times New Roman"/>
          <w:sz w:val="28"/>
          <w:szCs w:val="28"/>
        </w:rPr>
      </w:pPr>
    </w:p>
    <w:p w:rsidR="00B42D04" w:rsidRDefault="00B42D04">
      <w:pPr>
        <w:rPr>
          <w:rFonts w:ascii="Times New Roman" w:hAnsi="Times New Roman" w:cs="Times New Roman"/>
          <w:sz w:val="28"/>
          <w:szCs w:val="28"/>
        </w:rPr>
      </w:pPr>
      <w:r>
        <w:rPr>
          <w:rFonts w:ascii="Times New Roman" w:hAnsi="Times New Roman" w:cs="Times New Roman"/>
          <w:sz w:val="28"/>
          <w:szCs w:val="28"/>
        </w:rPr>
        <w:br w:type="page"/>
      </w:r>
    </w:p>
    <w:p w:rsidR="00F33837" w:rsidRDefault="00F33837" w:rsidP="00F33837">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ПРИКЛАДИ РОЗВЯЗАННЯ ЗАДАЧ</w:t>
      </w:r>
    </w:p>
    <w:p w:rsidR="00717D6A" w:rsidRDefault="00717D6A" w:rsidP="007B527B">
      <w:pPr>
        <w:ind w:firstLine="567"/>
        <w:rPr>
          <w:rFonts w:ascii="Times New Roman" w:hAnsi="Times New Roman" w:cs="Times New Roman"/>
          <w:sz w:val="28"/>
          <w:szCs w:val="28"/>
        </w:rPr>
      </w:pPr>
    </w:p>
    <w:p w:rsidR="00630CFD" w:rsidRDefault="00630CFD" w:rsidP="00630CFD">
      <w:pPr>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ЗАДАЧА </w:t>
      </w:r>
      <w:r w:rsidR="00254F16">
        <w:rPr>
          <w:rFonts w:ascii="Times New Roman" w:hAnsi="Times New Roman" w:cs="Times New Roman"/>
          <w:sz w:val="28"/>
          <w:szCs w:val="28"/>
          <w:lang w:val="uk-UA"/>
        </w:rPr>
        <w:t>1</w:t>
      </w:r>
      <w:r>
        <w:rPr>
          <w:rFonts w:ascii="Times New Roman" w:hAnsi="Times New Roman" w:cs="Times New Roman"/>
          <w:sz w:val="28"/>
          <w:szCs w:val="28"/>
          <w:lang w:val="uk-UA"/>
        </w:rPr>
        <w:t xml:space="preserve">. Визначити значення коефіцієнта бета для цінного паперу А. В таблиці наведено дані щодо доходності цінного паперу і всього ринку за 9 років. </w:t>
      </w:r>
    </w:p>
    <w:p w:rsidR="00254F16" w:rsidRPr="00455EB3" w:rsidRDefault="00254F16" w:rsidP="00630CFD">
      <w:pPr>
        <w:ind w:firstLine="567"/>
        <w:rPr>
          <w:rFonts w:ascii="Times New Roman" w:hAnsi="Times New Roman" w:cs="Times New Roman"/>
          <w:sz w:val="28"/>
          <w:szCs w:val="28"/>
          <w:lang w:val="uk-UA"/>
        </w:rPr>
      </w:pPr>
    </w:p>
    <w:p w:rsidR="00A42EDD" w:rsidRPr="007B527B" w:rsidRDefault="00254F16" w:rsidP="007B527B">
      <w:pPr>
        <w:ind w:firstLine="567"/>
        <w:rPr>
          <w:rFonts w:ascii="Times New Roman" w:hAnsi="Times New Roman" w:cs="Times New Roman"/>
          <w:sz w:val="28"/>
          <w:szCs w:val="28"/>
        </w:rPr>
      </w:pPr>
      <w:r>
        <w:rPr>
          <w:noProof/>
          <w:lang w:eastAsia="ru-RU"/>
        </w:rPr>
        <w:drawing>
          <wp:inline distT="0" distB="0" distL="0" distR="0" wp14:anchorId="61930ACD" wp14:editId="3F01DF31">
            <wp:extent cx="6535996" cy="4582886"/>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58" t="15985" r="21541" b="1872"/>
                    <a:stretch/>
                  </pic:blipFill>
                  <pic:spPr bwMode="auto">
                    <a:xfrm>
                      <a:off x="0" y="0"/>
                      <a:ext cx="6551853" cy="4594005"/>
                    </a:xfrm>
                    <a:prstGeom prst="rect">
                      <a:avLst/>
                    </a:prstGeom>
                    <a:ln>
                      <a:noFill/>
                    </a:ln>
                    <a:extLst>
                      <a:ext uri="{53640926-AAD7-44D8-BBD7-CCE9431645EC}">
                        <a14:shadowObscured xmlns:a14="http://schemas.microsoft.com/office/drawing/2010/main"/>
                      </a:ext>
                    </a:extLst>
                  </pic:spPr>
                </pic:pic>
              </a:graphicData>
            </a:graphic>
          </wp:inline>
        </w:drawing>
      </w:r>
    </w:p>
    <w:p w:rsidR="00A42EDD" w:rsidRPr="007B527B" w:rsidRDefault="00254F16" w:rsidP="007B527B">
      <w:pPr>
        <w:ind w:firstLine="567"/>
        <w:rPr>
          <w:rFonts w:ascii="Times New Roman" w:hAnsi="Times New Roman" w:cs="Times New Roman"/>
          <w:sz w:val="28"/>
          <w:szCs w:val="28"/>
        </w:rPr>
      </w:pPr>
      <w:r>
        <w:rPr>
          <w:noProof/>
          <w:lang w:eastAsia="ru-RU"/>
        </w:rPr>
        <w:drawing>
          <wp:inline distT="0" distB="0" distL="0" distR="0" wp14:anchorId="75797D83" wp14:editId="02889443">
            <wp:extent cx="6184098" cy="2699657"/>
            <wp:effectExtent l="0" t="0" r="762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403" t="45476" r="26503" b="7114"/>
                    <a:stretch/>
                  </pic:blipFill>
                  <pic:spPr bwMode="auto">
                    <a:xfrm>
                      <a:off x="0" y="0"/>
                      <a:ext cx="6212597" cy="2712098"/>
                    </a:xfrm>
                    <a:prstGeom prst="rect">
                      <a:avLst/>
                    </a:prstGeom>
                    <a:ln>
                      <a:noFill/>
                    </a:ln>
                    <a:extLst>
                      <a:ext uri="{53640926-AAD7-44D8-BBD7-CCE9431645EC}">
                        <a14:shadowObscured xmlns:a14="http://schemas.microsoft.com/office/drawing/2010/main"/>
                      </a:ext>
                    </a:extLst>
                  </pic:spPr>
                </pic:pic>
              </a:graphicData>
            </a:graphic>
          </wp:inline>
        </w:drawing>
      </w:r>
    </w:p>
    <w:p w:rsidR="00254F16" w:rsidRDefault="00254F16" w:rsidP="0072309A">
      <w:pPr>
        <w:ind w:firstLine="567"/>
        <w:rPr>
          <w:rFonts w:ascii="Times New Roman" w:hAnsi="Times New Roman" w:cs="Times New Roman"/>
          <w:sz w:val="28"/>
          <w:szCs w:val="28"/>
          <w:lang w:val="uk-UA"/>
        </w:rPr>
      </w:pPr>
    </w:p>
    <w:p w:rsidR="00254F16" w:rsidRDefault="00254F16" w:rsidP="0072309A">
      <w:pPr>
        <w:ind w:firstLine="567"/>
        <w:rPr>
          <w:rFonts w:ascii="Times New Roman" w:hAnsi="Times New Roman" w:cs="Times New Roman"/>
          <w:sz w:val="28"/>
          <w:szCs w:val="28"/>
          <w:lang w:val="uk-UA"/>
        </w:rPr>
      </w:pPr>
    </w:p>
    <w:p w:rsidR="0072309A" w:rsidRPr="007B527B" w:rsidRDefault="0072309A" w:rsidP="0072309A">
      <w:pPr>
        <w:ind w:firstLine="567"/>
        <w:rPr>
          <w:rFonts w:ascii="Times New Roman" w:hAnsi="Times New Roman" w:cs="Times New Roman"/>
          <w:sz w:val="28"/>
          <w:szCs w:val="28"/>
          <w:lang w:val="uk-UA"/>
        </w:rPr>
      </w:pPr>
      <w:r w:rsidRPr="007B527B">
        <w:rPr>
          <w:rFonts w:ascii="Times New Roman" w:hAnsi="Times New Roman" w:cs="Times New Roman"/>
          <w:sz w:val="28"/>
          <w:szCs w:val="28"/>
          <w:lang w:val="uk-UA"/>
        </w:rPr>
        <w:lastRenderedPageBreak/>
        <w:t xml:space="preserve">ЗАДАЧА </w:t>
      </w:r>
      <w:r w:rsidR="00254F16">
        <w:rPr>
          <w:rFonts w:ascii="Times New Roman" w:hAnsi="Times New Roman" w:cs="Times New Roman"/>
          <w:sz w:val="28"/>
          <w:szCs w:val="28"/>
          <w:lang w:val="uk-UA"/>
        </w:rPr>
        <w:t>2</w:t>
      </w:r>
      <w:r w:rsidRPr="007B527B">
        <w:rPr>
          <w:rFonts w:ascii="Times New Roman" w:hAnsi="Times New Roman" w:cs="Times New Roman"/>
          <w:sz w:val="28"/>
          <w:szCs w:val="28"/>
          <w:lang w:val="uk-UA"/>
        </w:rPr>
        <w:t xml:space="preserve">. </w:t>
      </w:r>
    </w:p>
    <w:p w:rsidR="0072309A" w:rsidRDefault="0072309A" w:rsidP="0072309A">
      <w:pPr>
        <w:ind w:firstLine="567"/>
        <w:jc w:val="both"/>
        <w:rPr>
          <w:rFonts w:ascii="Times New Roman" w:hAnsi="Times New Roman" w:cs="Times New Roman"/>
          <w:sz w:val="28"/>
          <w:szCs w:val="28"/>
          <w:lang w:val="uk-UA"/>
        </w:rPr>
      </w:pPr>
      <w:r w:rsidRPr="007B527B">
        <w:rPr>
          <w:rFonts w:ascii="Times New Roman" w:hAnsi="Times New Roman" w:cs="Times New Roman"/>
          <w:sz w:val="28"/>
          <w:szCs w:val="28"/>
          <w:lang w:val="uk-UA"/>
        </w:rPr>
        <w:t>Визначити коефіцієнти коваріації та кореляції цінних паперів А та Б</w:t>
      </w:r>
      <w:r>
        <w:rPr>
          <w:rFonts w:ascii="Times New Roman" w:hAnsi="Times New Roman" w:cs="Times New Roman"/>
          <w:sz w:val="28"/>
          <w:szCs w:val="28"/>
          <w:lang w:val="uk-UA"/>
        </w:rPr>
        <w:t xml:space="preserve">. </w:t>
      </w:r>
    </w:p>
    <w:p w:rsidR="0072309A" w:rsidRPr="00630CFD" w:rsidRDefault="0072309A" w:rsidP="0072309A">
      <w:pPr>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t xml:space="preserve">Дано: Доходності цінних паперів за 4 роки. </w:t>
      </w:r>
    </w:p>
    <w:p w:rsidR="0072309A" w:rsidRDefault="00254F16" w:rsidP="0072309A">
      <w:pPr>
        <w:ind w:firstLine="567"/>
        <w:rPr>
          <w:rFonts w:ascii="Times New Roman" w:hAnsi="Times New Roman" w:cs="Times New Roman"/>
          <w:sz w:val="28"/>
          <w:szCs w:val="28"/>
        </w:rPr>
      </w:pPr>
      <w:r>
        <w:rPr>
          <w:noProof/>
          <w:lang w:eastAsia="ru-RU"/>
        </w:rPr>
        <w:drawing>
          <wp:inline distT="0" distB="0" distL="0" distR="0" wp14:anchorId="76A55ADC" wp14:editId="43A4E64F">
            <wp:extent cx="6004249" cy="4114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714" t="22600" r="42942" b="23378"/>
                    <a:stretch/>
                  </pic:blipFill>
                  <pic:spPr bwMode="auto">
                    <a:xfrm>
                      <a:off x="0" y="0"/>
                      <a:ext cx="6023683" cy="4128118"/>
                    </a:xfrm>
                    <a:prstGeom prst="rect">
                      <a:avLst/>
                    </a:prstGeom>
                    <a:ln>
                      <a:noFill/>
                    </a:ln>
                    <a:extLst>
                      <a:ext uri="{53640926-AAD7-44D8-BBD7-CCE9431645EC}">
                        <a14:shadowObscured xmlns:a14="http://schemas.microsoft.com/office/drawing/2010/main"/>
                      </a:ext>
                    </a:extLst>
                  </pic:spPr>
                </pic:pic>
              </a:graphicData>
            </a:graphic>
          </wp:inline>
        </w:drawing>
      </w:r>
    </w:p>
    <w:p w:rsidR="00630CFD" w:rsidRDefault="00396921" w:rsidP="00630CFD">
      <w:pPr>
        <w:ind w:firstLine="567"/>
        <w:rPr>
          <w:rFonts w:ascii="Times New Roman" w:hAnsi="Times New Roman" w:cs="Times New Roman"/>
          <w:noProof/>
          <w:sz w:val="28"/>
          <w:szCs w:val="28"/>
          <w:lang w:val="uk-UA" w:eastAsia="ru-RU"/>
        </w:rPr>
      </w:pPr>
      <w:r>
        <w:rPr>
          <w:rFonts w:ascii="Times New Roman" w:hAnsi="Times New Roman" w:cs="Times New Roman"/>
          <w:sz w:val="28"/>
          <w:szCs w:val="28"/>
          <w:lang w:val="uk-UA"/>
        </w:rPr>
        <w:t xml:space="preserve">ЗАДАЧА </w:t>
      </w:r>
      <w:r w:rsidR="00254F16">
        <w:rPr>
          <w:rFonts w:ascii="Times New Roman" w:hAnsi="Times New Roman" w:cs="Times New Roman"/>
          <w:sz w:val="28"/>
          <w:szCs w:val="28"/>
          <w:lang w:val="uk-UA"/>
        </w:rPr>
        <w:t>3</w:t>
      </w:r>
      <w:r w:rsidR="002F4481">
        <w:rPr>
          <w:rFonts w:ascii="Times New Roman" w:hAnsi="Times New Roman" w:cs="Times New Roman"/>
          <w:sz w:val="28"/>
          <w:szCs w:val="28"/>
          <w:lang w:val="uk-UA"/>
        </w:rPr>
        <w:t xml:space="preserve">. </w:t>
      </w:r>
      <w:r w:rsidR="00630CFD">
        <w:rPr>
          <w:rFonts w:ascii="Times New Roman" w:hAnsi="Times New Roman" w:cs="Times New Roman"/>
          <w:sz w:val="28"/>
          <w:szCs w:val="28"/>
          <w:lang w:val="uk-UA"/>
        </w:rPr>
        <w:t xml:space="preserve"> </w:t>
      </w:r>
      <w:r w:rsidR="00630CFD">
        <w:rPr>
          <w:rFonts w:ascii="Times New Roman" w:hAnsi="Times New Roman" w:cs="Times New Roman"/>
          <w:noProof/>
          <w:sz w:val="28"/>
          <w:szCs w:val="28"/>
          <w:lang w:val="uk-UA" w:eastAsia="ru-RU"/>
        </w:rPr>
        <w:t xml:space="preserve">Дано ціни акцій за 6 періодів. Визначити оптимальний портфель за моделлю Марковіца, якщо ризик портфеля не має перевищувати 15%. </w:t>
      </w:r>
    </w:p>
    <w:p w:rsidR="00D30CC7" w:rsidRDefault="00D30CC7" w:rsidP="00630CFD">
      <w:pPr>
        <w:ind w:firstLine="567"/>
        <w:rPr>
          <w:rFonts w:ascii="Times New Roman" w:hAnsi="Times New Roman" w:cs="Times New Roman"/>
          <w:noProof/>
          <w:sz w:val="28"/>
          <w:szCs w:val="28"/>
          <w:lang w:val="uk-UA" w:eastAsia="ru-RU"/>
        </w:rPr>
      </w:pPr>
      <w:r>
        <w:rPr>
          <w:noProof/>
          <w:lang w:eastAsia="ru-RU"/>
        </w:rPr>
        <w:drawing>
          <wp:inline distT="0" distB="0" distL="0" distR="0" wp14:anchorId="4D15A381" wp14:editId="522E63E8">
            <wp:extent cx="6223002" cy="1251857"/>
            <wp:effectExtent l="0" t="0" r="635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752" t="20395" r="39064" b="60587"/>
                    <a:stretch/>
                  </pic:blipFill>
                  <pic:spPr bwMode="auto">
                    <a:xfrm>
                      <a:off x="0" y="0"/>
                      <a:ext cx="6263917" cy="1260088"/>
                    </a:xfrm>
                    <a:prstGeom prst="rect">
                      <a:avLst/>
                    </a:prstGeom>
                    <a:ln>
                      <a:noFill/>
                    </a:ln>
                    <a:extLst>
                      <a:ext uri="{53640926-AAD7-44D8-BBD7-CCE9431645EC}">
                        <a14:shadowObscured xmlns:a14="http://schemas.microsoft.com/office/drawing/2010/main"/>
                      </a:ext>
                    </a:extLst>
                  </pic:spPr>
                </pic:pic>
              </a:graphicData>
            </a:graphic>
          </wp:inline>
        </w:drawing>
      </w:r>
    </w:p>
    <w:p w:rsidR="006D51F4" w:rsidRDefault="006D51F4" w:rsidP="006D51F4">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Знайдемо доходність акцій</w:t>
      </w:r>
    </w:p>
    <w:p w:rsidR="00254F16" w:rsidRPr="00D30CC7" w:rsidRDefault="00254F16" w:rsidP="00D30CC7">
      <w:pPr>
        <w:ind w:left="567"/>
        <w:rPr>
          <w:rFonts w:ascii="Times New Roman" w:hAnsi="Times New Roman" w:cs="Times New Roman"/>
          <w:sz w:val="28"/>
          <w:szCs w:val="28"/>
          <w:lang w:val="uk-UA"/>
        </w:rPr>
      </w:pPr>
      <w:r>
        <w:rPr>
          <w:noProof/>
          <w:lang w:eastAsia="ru-RU"/>
        </w:rPr>
        <w:drawing>
          <wp:inline distT="0" distB="0" distL="0" distR="0" wp14:anchorId="193F474A" wp14:editId="12C87732">
            <wp:extent cx="6309980" cy="139337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217" t="20119" r="42629" b="60586"/>
                    <a:stretch/>
                  </pic:blipFill>
                  <pic:spPr bwMode="auto">
                    <a:xfrm>
                      <a:off x="0" y="0"/>
                      <a:ext cx="6385341" cy="1410012"/>
                    </a:xfrm>
                    <a:prstGeom prst="rect">
                      <a:avLst/>
                    </a:prstGeom>
                    <a:ln>
                      <a:noFill/>
                    </a:ln>
                    <a:extLst>
                      <a:ext uri="{53640926-AAD7-44D8-BBD7-CCE9431645EC}">
                        <a14:shadowObscured xmlns:a14="http://schemas.microsoft.com/office/drawing/2010/main"/>
                      </a:ext>
                    </a:extLst>
                  </pic:spPr>
                </pic:pic>
              </a:graphicData>
            </a:graphic>
          </wp:inline>
        </w:drawing>
      </w:r>
    </w:p>
    <w:p w:rsidR="00330C78" w:rsidRDefault="00330C78" w:rsidP="007B527B">
      <w:pPr>
        <w:ind w:firstLine="567"/>
        <w:rPr>
          <w:rFonts w:ascii="Times New Roman" w:hAnsi="Times New Roman" w:cs="Times New Roman"/>
          <w:sz w:val="28"/>
          <w:szCs w:val="28"/>
        </w:rPr>
      </w:pPr>
    </w:p>
    <w:p w:rsidR="00D30CC7" w:rsidRDefault="00D30CC7" w:rsidP="007B527B">
      <w:pPr>
        <w:ind w:firstLine="567"/>
        <w:rPr>
          <w:rFonts w:ascii="Times New Roman" w:hAnsi="Times New Roman" w:cs="Times New Roman"/>
          <w:sz w:val="28"/>
          <w:szCs w:val="28"/>
        </w:rPr>
      </w:pPr>
    </w:p>
    <w:p w:rsidR="006D51F4" w:rsidRPr="006D51F4" w:rsidRDefault="006D51F4" w:rsidP="006D51F4">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lastRenderedPageBreak/>
        <w:t>Знайдемо коефіцієнти коваріації та кореляції</w:t>
      </w:r>
    </w:p>
    <w:p w:rsidR="00330C78" w:rsidRPr="007B527B" w:rsidRDefault="00254F16" w:rsidP="007B527B">
      <w:pPr>
        <w:ind w:firstLine="567"/>
        <w:rPr>
          <w:rFonts w:ascii="Times New Roman" w:hAnsi="Times New Roman" w:cs="Times New Roman"/>
          <w:sz w:val="28"/>
          <w:szCs w:val="28"/>
        </w:rPr>
      </w:pPr>
      <w:r>
        <w:rPr>
          <w:noProof/>
          <w:lang w:eastAsia="ru-RU"/>
        </w:rPr>
        <w:drawing>
          <wp:inline distT="0" distB="0" distL="0" distR="0" wp14:anchorId="0A274150" wp14:editId="4330AD53">
            <wp:extent cx="6457075" cy="182880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063" t="65319" r="20769" b="-1151"/>
                    <a:stretch/>
                  </pic:blipFill>
                  <pic:spPr bwMode="auto">
                    <a:xfrm>
                      <a:off x="0" y="0"/>
                      <a:ext cx="6483242" cy="1836211"/>
                    </a:xfrm>
                    <a:prstGeom prst="rect">
                      <a:avLst/>
                    </a:prstGeom>
                    <a:ln>
                      <a:noFill/>
                    </a:ln>
                    <a:extLst>
                      <a:ext uri="{53640926-AAD7-44D8-BBD7-CCE9431645EC}">
                        <a14:shadowObscured xmlns:a14="http://schemas.microsoft.com/office/drawing/2010/main"/>
                      </a:ext>
                    </a:extLst>
                  </pic:spPr>
                </pic:pic>
              </a:graphicData>
            </a:graphic>
          </wp:inline>
        </w:drawing>
      </w:r>
    </w:p>
    <w:p w:rsidR="0072309A" w:rsidRDefault="0072309A" w:rsidP="0072309A">
      <w:pPr>
        <w:ind w:left="567"/>
        <w:rPr>
          <w:rFonts w:ascii="Times New Roman" w:hAnsi="Times New Roman" w:cs="Times New Roman"/>
          <w:sz w:val="28"/>
          <w:szCs w:val="28"/>
          <w:lang w:val="uk-UA"/>
        </w:rPr>
      </w:pPr>
    </w:p>
    <w:p w:rsidR="00330C78" w:rsidRPr="006D51F4" w:rsidRDefault="006D51F4" w:rsidP="006D51F4">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Складемо задачу лінійного програмування</w:t>
      </w:r>
    </w:p>
    <w:p w:rsidR="007B527B" w:rsidRDefault="00D30CC7" w:rsidP="007B527B">
      <w:pPr>
        <w:ind w:firstLine="567"/>
        <w:rPr>
          <w:rFonts w:ascii="Times New Roman" w:hAnsi="Times New Roman" w:cs="Times New Roman"/>
          <w:sz w:val="28"/>
          <w:szCs w:val="28"/>
        </w:rPr>
      </w:pPr>
      <w:r>
        <w:rPr>
          <w:noProof/>
          <w:lang w:eastAsia="ru-RU"/>
        </w:rPr>
        <w:drawing>
          <wp:inline distT="0" distB="0" distL="0" distR="0" wp14:anchorId="3D2BC58C" wp14:editId="0EB0059D">
            <wp:extent cx="6641819" cy="2928257"/>
            <wp:effectExtent l="0" t="0" r="698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17" t="38862" r="14400" b="491"/>
                    <a:stretch/>
                  </pic:blipFill>
                  <pic:spPr bwMode="auto">
                    <a:xfrm>
                      <a:off x="0" y="0"/>
                      <a:ext cx="6680770" cy="2945430"/>
                    </a:xfrm>
                    <a:prstGeom prst="rect">
                      <a:avLst/>
                    </a:prstGeom>
                    <a:ln>
                      <a:noFill/>
                    </a:ln>
                    <a:extLst>
                      <a:ext uri="{53640926-AAD7-44D8-BBD7-CCE9431645EC}">
                        <a14:shadowObscured xmlns:a14="http://schemas.microsoft.com/office/drawing/2010/main"/>
                      </a:ext>
                    </a:extLst>
                  </pic:spPr>
                </pic:pic>
              </a:graphicData>
            </a:graphic>
          </wp:inline>
        </w:drawing>
      </w:r>
    </w:p>
    <w:p w:rsidR="006D51F4" w:rsidRDefault="006D51F4" w:rsidP="007B527B">
      <w:pPr>
        <w:ind w:firstLine="567"/>
        <w:rPr>
          <w:rFonts w:ascii="Times New Roman" w:hAnsi="Times New Roman" w:cs="Times New Roman"/>
          <w:sz w:val="28"/>
          <w:szCs w:val="28"/>
          <w:lang w:val="uk-UA"/>
        </w:rPr>
      </w:pPr>
      <w:r>
        <w:rPr>
          <w:rFonts w:ascii="Times New Roman" w:hAnsi="Times New Roman" w:cs="Times New Roman"/>
          <w:sz w:val="28"/>
          <w:szCs w:val="28"/>
          <w:lang w:val="uk-UA"/>
        </w:rPr>
        <w:t>Розглянемо пря</w:t>
      </w:r>
      <w:r w:rsidR="00D30CC7">
        <w:rPr>
          <w:rFonts w:ascii="Times New Roman" w:hAnsi="Times New Roman" w:cs="Times New Roman"/>
          <w:sz w:val="28"/>
          <w:szCs w:val="28"/>
          <w:lang w:val="uk-UA"/>
        </w:rPr>
        <w:t>м</w:t>
      </w:r>
      <w:r>
        <w:rPr>
          <w:rFonts w:ascii="Times New Roman" w:hAnsi="Times New Roman" w:cs="Times New Roman"/>
          <w:sz w:val="28"/>
          <w:szCs w:val="28"/>
          <w:lang w:val="uk-UA"/>
        </w:rPr>
        <w:t>у задачу</w:t>
      </w:r>
    </w:p>
    <w:p w:rsidR="00D30CC7" w:rsidRPr="006D51F4" w:rsidRDefault="00D30CC7" w:rsidP="007B527B">
      <w:pPr>
        <w:ind w:firstLine="567"/>
        <w:rPr>
          <w:rFonts w:ascii="Times New Roman" w:hAnsi="Times New Roman" w:cs="Times New Roman"/>
          <w:sz w:val="28"/>
          <w:szCs w:val="28"/>
          <w:lang w:val="uk-UA"/>
        </w:rPr>
      </w:pPr>
      <w:r>
        <w:rPr>
          <w:noProof/>
          <w:lang w:eastAsia="ru-RU"/>
        </w:rPr>
        <w:drawing>
          <wp:inline distT="0" distB="0" distL="0" distR="0" wp14:anchorId="77E4BA3D" wp14:editId="09BE44FB">
            <wp:extent cx="4419600" cy="317940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381" t="58153" r="10222" b="2973"/>
                    <a:stretch/>
                  </pic:blipFill>
                  <pic:spPr bwMode="auto">
                    <a:xfrm>
                      <a:off x="0" y="0"/>
                      <a:ext cx="4468864" cy="3214846"/>
                    </a:xfrm>
                    <a:prstGeom prst="rect">
                      <a:avLst/>
                    </a:prstGeom>
                    <a:ln>
                      <a:noFill/>
                    </a:ln>
                    <a:extLst>
                      <a:ext uri="{53640926-AAD7-44D8-BBD7-CCE9431645EC}">
                        <a14:shadowObscured xmlns:a14="http://schemas.microsoft.com/office/drawing/2010/main"/>
                      </a:ext>
                    </a:extLst>
                  </pic:spPr>
                </pic:pic>
              </a:graphicData>
            </a:graphic>
          </wp:inline>
        </w:drawing>
      </w:r>
    </w:p>
    <w:p w:rsidR="00330C78" w:rsidRDefault="009476A1" w:rsidP="007B527B">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Можна розглянути зворотню задачу</w:t>
      </w:r>
    </w:p>
    <w:p w:rsidR="009476A1" w:rsidRDefault="009476A1" w:rsidP="007B527B">
      <w:pPr>
        <w:ind w:firstLine="567"/>
        <w:rPr>
          <w:rFonts w:ascii="Times New Roman" w:hAnsi="Times New Roman" w:cs="Times New Roman"/>
          <w:sz w:val="28"/>
          <w:szCs w:val="28"/>
          <w:lang w:val="uk-UA"/>
        </w:rPr>
      </w:pPr>
      <w:r>
        <w:rPr>
          <w:noProof/>
          <w:lang w:eastAsia="ru-RU"/>
        </w:rPr>
        <w:drawing>
          <wp:inline distT="0" distB="0" distL="0" distR="0" wp14:anchorId="582AA2EE" wp14:editId="34927939">
            <wp:extent cx="4795520" cy="106680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139" t="61544" r="40635" b="18199"/>
                    <a:stretch/>
                  </pic:blipFill>
                  <pic:spPr bwMode="auto">
                    <a:xfrm>
                      <a:off x="0" y="0"/>
                      <a:ext cx="4817174" cy="1071617"/>
                    </a:xfrm>
                    <a:prstGeom prst="rect">
                      <a:avLst/>
                    </a:prstGeom>
                    <a:ln>
                      <a:noFill/>
                    </a:ln>
                    <a:extLst>
                      <a:ext uri="{53640926-AAD7-44D8-BBD7-CCE9431645EC}">
                        <a14:shadowObscured xmlns:a14="http://schemas.microsoft.com/office/drawing/2010/main"/>
                      </a:ext>
                    </a:extLst>
                  </pic:spPr>
                </pic:pic>
              </a:graphicData>
            </a:graphic>
          </wp:inline>
        </w:drawing>
      </w:r>
    </w:p>
    <w:p w:rsidR="00630CFD" w:rsidRDefault="00630CFD" w:rsidP="007B527B">
      <w:pPr>
        <w:ind w:firstLine="567"/>
        <w:rPr>
          <w:rFonts w:ascii="Times New Roman" w:hAnsi="Times New Roman" w:cs="Times New Roman"/>
          <w:sz w:val="28"/>
          <w:szCs w:val="28"/>
          <w:lang w:val="uk-UA"/>
        </w:rPr>
      </w:pPr>
      <w:r>
        <w:rPr>
          <w:rFonts w:ascii="Times New Roman" w:hAnsi="Times New Roman" w:cs="Times New Roman"/>
          <w:sz w:val="28"/>
          <w:szCs w:val="28"/>
          <w:lang w:val="uk-UA"/>
        </w:rPr>
        <w:t>Результат:</w:t>
      </w:r>
    </w:p>
    <w:p w:rsidR="00630CFD" w:rsidRDefault="00630CFD" w:rsidP="007B527B">
      <w:pPr>
        <w:ind w:firstLine="567"/>
        <w:rPr>
          <w:rFonts w:ascii="Times New Roman" w:hAnsi="Times New Roman" w:cs="Times New Roman"/>
          <w:sz w:val="28"/>
          <w:szCs w:val="28"/>
          <w:lang w:val="uk-UA"/>
        </w:rPr>
      </w:pPr>
      <w:r>
        <w:rPr>
          <w:noProof/>
          <w:lang w:eastAsia="ru-RU"/>
        </w:rPr>
        <w:drawing>
          <wp:inline distT="0" distB="0" distL="0" distR="0" wp14:anchorId="76C1EA7A" wp14:editId="4199B99F">
            <wp:extent cx="4326903" cy="10680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023" t="34130" r="65763" b="56562"/>
                    <a:stretch/>
                  </pic:blipFill>
                  <pic:spPr bwMode="auto">
                    <a:xfrm>
                      <a:off x="0" y="0"/>
                      <a:ext cx="4590647" cy="1133132"/>
                    </a:xfrm>
                    <a:prstGeom prst="rect">
                      <a:avLst/>
                    </a:prstGeom>
                    <a:ln>
                      <a:noFill/>
                    </a:ln>
                    <a:extLst>
                      <a:ext uri="{53640926-AAD7-44D8-BBD7-CCE9431645EC}">
                        <a14:shadowObscured xmlns:a14="http://schemas.microsoft.com/office/drawing/2010/main"/>
                      </a:ext>
                    </a:extLst>
                  </pic:spPr>
                </pic:pic>
              </a:graphicData>
            </a:graphic>
          </wp:inline>
        </w:drawing>
      </w:r>
    </w:p>
    <w:p w:rsidR="00630CFD" w:rsidRPr="00630CFD" w:rsidRDefault="00630CFD" w:rsidP="007B527B">
      <w:pPr>
        <w:ind w:firstLine="567"/>
        <w:rPr>
          <w:rFonts w:ascii="Times New Roman" w:hAnsi="Times New Roman" w:cs="Times New Roman"/>
          <w:sz w:val="28"/>
          <w:szCs w:val="28"/>
          <w:lang w:val="uk-UA"/>
        </w:rPr>
      </w:pPr>
      <w:r>
        <w:rPr>
          <w:rFonts w:ascii="Times New Roman" w:hAnsi="Times New Roman" w:cs="Times New Roman"/>
          <w:sz w:val="28"/>
          <w:szCs w:val="28"/>
          <w:lang w:val="uk-UA"/>
        </w:rPr>
        <w:t>Тобто потрібно купити 4% акцій А та 96% акцій Б.</w:t>
      </w:r>
    </w:p>
    <w:p w:rsidR="007B527B" w:rsidRDefault="007B527B" w:rsidP="00E036D3">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w:t>
      </w:r>
    </w:p>
    <w:p w:rsidR="007B527B" w:rsidRPr="00E036D3" w:rsidRDefault="007B527B" w:rsidP="007B527B">
      <w:pPr>
        <w:ind w:firstLine="567"/>
        <w:rPr>
          <w:rFonts w:ascii="Times New Roman" w:hAnsi="Times New Roman" w:cs="Times New Roman"/>
          <w:b/>
          <w:sz w:val="28"/>
          <w:szCs w:val="28"/>
          <w:lang w:val="uk-UA"/>
        </w:rPr>
      </w:pPr>
      <w:r w:rsidRPr="00E036D3">
        <w:rPr>
          <w:rFonts w:ascii="Times New Roman" w:hAnsi="Times New Roman" w:cs="Times New Roman"/>
          <w:b/>
          <w:sz w:val="28"/>
          <w:szCs w:val="28"/>
          <w:lang w:val="uk-UA"/>
        </w:rPr>
        <w:t xml:space="preserve">ЗАДАЧА 1. </w:t>
      </w:r>
    </w:p>
    <w:p w:rsidR="00DE192D" w:rsidRDefault="00455EB3" w:rsidP="002F4481">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6D51F4">
        <w:rPr>
          <w:rFonts w:ascii="Times New Roman" w:hAnsi="Times New Roman" w:cs="Times New Roman"/>
          <w:sz w:val="28"/>
          <w:szCs w:val="28"/>
          <w:lang w:val="uk-UA"/>
        </w:rPr>
        <w:t xml:space="preserve">  </w:t>
      </w:r>
      <w:r w:rsidRPr="007B527B">
        <w:rPr>
          <w:rFonts w:ascii="Times New Roman" w:hAnsi="Times New Roman" w:cs="Times New Roman"/>
          <w:sz w:val="28"/>
          <w:szCs w:val="28"/>
          <w:lang w:val="uk-UA"/>
        </w:rPr>
        <w:t>Визначити коефіцієнти коваріації та кореляції цінних папе</w:t>
      </w:r>
      <w:r w:rsidR="006D51F4" w:rsidRPr="007B527B">
        <w:rPr>
          <w:rFonts w:ascii="Times New Roman" w:hAnsi="Times New Roman" w:cs="Times New Roman"/>
          <w:sz w:val="28"/>
          <w:szCs w:val="28"/>
          <w:lang w:val="uk-UA"/>
        </w:rPr>
        <w:t>р</w:t>
      </w:r>
      <w:r w:rsidRPr="007B527B">
        <w:rPr>
          <w:rFonts w:ascii="Times New Roman" w:hAnsi="Times New Roman" w:cs="Times New Roman"/>
          <w:sz w:val="28"/>
          <w:szCs w:val="28"/>
          <w:lang w:val="uk-UA"/>
        </w:rPr>
        <w:t>ів А та Б</w:t>
      </w:r>
      <w:r w:rsidR="00DE192D">
        <w:rPr>
          <w:rFonts w:ascii="Times New Roman" w:hAnsi="Times New Roman" w:cs="Times New Roman"/>
          <w:sz w:val="28"/>
          <w:szCs w:val="28"/>
          <w:lang w:val="uk-UA"/>
        </w:rPr>
        <w:t xml:space="preserve">. </w:t>
      </w:r>
      <w:r w:rsidR="002F4481">
        <w:rPr>
          <w:rFonts w:ascii="Times New Roman" w:hAnsi="Times New Roman" w:cs="Times New Roman"/>
          <w:sz w:val="28"/>
          <w:szCs w:val="28"/>
          <w:lang w:val="uk-UA"/>
        </w:rPr>
        <w:t>О</w:t>
      </w:r>
      <w:r w:rsidR="00DE192D">
        <w:rPr>
          <w:rFonts w:ascii="Times New Roman" w:hAnsi="Times New Roman" w:cs="Times New Roman"/>
          <w:sz w:val="28"/>
          <w:szCs w:val="28"/>
          <w:lang w:val="uk-UA"/>
        </w:rPr>
        <w:t xml:space="preserve">цінити ступінь ризику цінних паперів ( за шкалою коефіцієнта бета). </w:t>
      </w:r>
      <w:r w:rsidR="006D51F4">
        <w:rPr>
          <w:rFonts w:ascii="Times New Roman" w:hAnsi="Times New Roman" w:cs="Times New Roman"/>
          <w:sz w:val="28"/>
          <w:szCs w:val="28"/>
          <w:lang w:val="uk-UA"/>
        </w:rPr>
        <w:t xml:space="preserve">Зробити висновки. В висновках визначити сутність бета-коефіфцієнта та проаналізувати відповідні значення для цінних паперів. </w:t>
      </w:r>
    </w:p>
    <w:tbl>
      <w:tblPr>
        <w:tblStyle w:val="a4"/>
        <w:tblW w:w="0" w:type="auto"/>
        <w:tblLook w:val="04A0" w:firstRow="1" w:lastRow="0" w:firstColumn="1" w:lastColumn="0" w:noHBand="0" w:noVBand="1"/>
      </w:tblPr>
      <w:tblGrid>
        <w:gridCol w:w="533"/>
        <w:gridCol w:w="672"/>
        <w:gridCol w:w="650"/>
        <w:gridCol w:w="658"/>
        <w:gridCol w:w="662"/>
        <w:gridCol w:w="657"/>
        <w:gridCol w:w="663"/>
        <w:gridCol w:w="660"/>
        <w:gridCol w:w="660"/>
        <w:gridCol w:w="662"/>
        <w:gridCol w:w="658"/>
        <w:gridCol w:w="660"/>
        <w:gridCol w:w="660"/>
        <w:gridCol w:w="660"/>
        <w:gridCol w:w="660"/>
        <w:gridCol w:w="636"/>
        <w:gridCol w:w="636"/>
      </w:tblGrid>
      <w:tr w:rsidR="00001061" w:rsidTr="00001061">
        <w:tc>
          <w:tcPr>
            <w:tcW w:w="533" w:type="dxa"/>
          </w:tcPr>
          <w:p w:rsidR="00001061" w:rsidRPr="00001061" w:rsidRDefault="00001061" w:rsidP="00001061">
            <w:pPr>
              <w:jc w:val="both"/>
              <w:rPr>
                <w:rFonts w:ascii="Times New Roman" w:hAnsi="Times New Roman" w:cs="Times New Roman"/>
                <w:sz w:val="24"/>
                <w:szCs w:val="24"/>
                <w:lang w:val="uk-UA"/>
              </w:rPr>
            </w:pPr>
          </w:p>
        </w:tc>
        <w:tc>
          <w:tcPr>
            <w:tcW w:w="1322" w:type="dxa"/>
            <w:gridSpan w:val="2"/>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Варіант 1</w:t>
            </w:r>
          </w:p>
        </w:tc>
        <w:tc>
          <w:tcPr>
            <w:tcW w:w="1320"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2</w:t>
            </w:r>
          </w:p>
        </w:tc>
        <w:tc>
          <w:tcPr>
            <w:tcW w:w="1320"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3</w:t>
            </w:r>
          </w:p>
        </w:tc>
        <w:tc>
          <w:tcPr>
            <w:tcW w:w="1320"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4</w:t>
            </w:r>
          </w:p>
        </w:tc>
        <w:tc>
          <w:tcPr>
            <w:tcW w:w="1320"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5</w:t>
            </w:r>
          </w:p>
        </w:tc>
        <w:tc>
          <w:tcPr>
            <w:tcW w:w="1320"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6</w:t>
            </w:r>
          </w:p>
        </w:tc>
        <w:tc>
          <w:tcPr>
            <w:tcW w:w="1320"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7</w:t>
            </w:r>
          </w:p>
        </w:tc>
        <w:tc>
          <w:tcPr>
            <w:tcW w:w="1272"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8</w:t>
            </w:r>
          </w:p>
        </w:tc>
      </w:tr>
      <w:tr w:rsidR="00001061" w:rsidTr="00001061">
        <w:tc>
          <w:tcPr>
            <w:tcW w:w="533" w:type="dxa"/>
          </w:tcPr>
          <w:p w:rsidR="00001061" w:rsidRPr="00001061" w:rsidRDefault="00001061" w:rsidP="00001061">
            <w:pPr>
              <w:jc w:val="both"/>
              <w:rPr>
                <w:rFonts w:ascii="Times New Roman" w:hAnsi="Times New Roman" w:cs="Times New Roman"/>
                <w:sz w:val="24"/>
                <w:szCs w:val="24"/>
                <w:lang w:val="uk-UA"/>
              </w:rPr>
            </w:pPr>
          </w:p>
        </w:tc>
        <w:tc>
          <w:tcPr>
            <w:tcW w:w="1322" w:type="dxa"/>
            <w:gridSpan w:val="2"/>
          </w:tcPr>
          <w:p w:rsidR="00001061" w:rsidRPr="00001061" w:rsidRDefault="00001061" w:rsidP="00001061">
            <w:pPr>
              <w:jc w:val="both"/>
              <w:rPr>
                <w:rFonts w:ascii="Times New Roman" w:hAnsi="Times New Roman" w:cs="Times New Roman"/>
                <w:sz w:val="20"/>
                <w:szCs w:val="20"/>
                <w:lang w:val="uk-UA"/>
              </w:rPr>
            </w:pPr>
            <w:r w:rsidRPr="00001061">
              <w:rPr>
                <w:rFonts w:ascii="Times New Roman" w:hAnsi="Times New Roman" w:cs="Times New Roman"/>
                <w:sz w:val="20"/>
                <w:szCs w:val="20"/>
                <w:lang w:val="uk-UA"/>
              </w:rPr>
              <w:t>Доходність акцій</w:t>
            </w:r>
          </w:p>
        </w:tc>
        <w:tc>
          <w:tcPr>
            <w:tcW w:w="1320" w:type="dxa"/>
            <w:gridSpan w:val="2"/>
          </w:tcPr>
          <w:p w:rsidR="00001061" w:rsidRPr="00001061" w:rsidRDefault="00001061" w:rsidP="00001061">
            <w:pPr>
              <w:rPr>
                <w:sz w:val="20"/>
                <w:szCs w:val="20"/>
              </w:rPr>
            </w:pPr>
            <w:r w:rsidRPr="00001061">
              <w:rPr>
                <w:rFonts w:ascii="Times New Roman" w:hAnsi="Times New Roman" w:cs="Times New Roman"/>
                <w:sz w:val="20"/>
                <w:szCs w:val="20"/>
                <w:lang w:val="uk-UA"/>
              </w:rPr>
              <w:t>Доходність акцій</w:t>
            </w:r>
          </w:p>
        </w:tc>
        <w:tc>
          <w:tcPr>
            <w:tcW w:w="1320" w:type="dxa"/>
            <w:gridSpan w:val="2"/>
          </w:tcPr>
          <w:p w:rsidR="00001061" w:rsidRPr="00001061" w:rsidRDefault="00001061" w:rsidP="00001061">
            <w:pPr>
              <w:rPr>
                <w:sz w:val="20"/>
                <w:szCs w:val="20"/>
              </w:rPr>
            </w:pPr>
            <w:r w:rsidRPr="00001061">
              <w:rPr>
                <w:rFonts w:ascii="Times New Roman" w:hAnsi="Times New Roman" w:cs="Times New Roman"/>
                <w:sz w:val="20"/>
                <w:szCs w:val="20"/>
                <w:lang w:val="uk-UA"/>
              </w:rPr>
              <w:t>Доходність акцій</w:t>
            </w:r>
          </w:p>
        </w:tc>
        <w:tc>
          <w:tcPr>
            <w:tcW w:w="1320" w:type="dxa"/>
            <w:gridSpan w:val="2"/>
          </w:tcPr>
          <w:p w:rsidR="00001061" w:rsidRPr="00001061" w:rsidRDefault="00001061" w:rsidP="00001061">
            <w:pPr>
              <w:rPr>
                <w:sz w:val="20"/>
                <w:szCs w:val="20"/>
              </w:rPr>
            </w:pPr>
            <w:r w:rsidRPr="00001061">
              <w:rPr>
                <w:rFonts w:ascii="Times New Roman" w:hAnsi="Times New Roman" w:cs="Times New Roman"/>
                <w:sz w:val="20"/>
                <w:szCs w:val="20"/>
                <w:lang w:val="uk-UA"/>
              </w:rPr>
              <w:t>Доходність акцій</w:t>
            </w:r>
          </w:p>
        </w:tc>
        <w:tc>
          <w:tcPr>
            <w:tcW w:w="1320" w:type="dxa"/>
            <w:gridSpan w:val="2"/>
          </w:tcPr>
          <w:p w:rsidR="00001061" w:rsidRPr="00001061" w:rsidRDefault="00001061" w:rsidP="00001061">
            <w:pPr>
              <w:rPr>
                <w:sz w:val="20"/>
                <w:szCs w:val="20"/>
              </w:rPr>
            </w:pPr>
            <w:r w:rsidRPr="00001061">
              <w:rPr>
                <w:rFonts w:ascii="Times New Roman" w:hAnsi="Times New Roman" w:cs="Times New Roman"/>
                <w:sz w:val="20"/>
                <w:szCs w:val="20"/>
                <w:lang w:val="uk-UA"/>
              </w:rPr>
              <w:t>Доходність акцій</w:t>
            </w:r>
          </w:p>
        </w:tc>
        <w:tc>
          <w:tcPr>
            <w:tcW w:w="1320" w:type="dxa"/>
            <w:gridSpan w:val="2"/>
          </w:tcPr>
          <w:p w:rsidR="00001061" w:rsidRPr="00001061" w:rsidRDefault="00001061" w:rsidP="00001061">
            <w:pPr>
              <w:rPr>
                <w:sz w:val="20"/>
                <w:szCs w:val="20"/>
              </w:rPr>
            </w:pPr>
            <w:r w:rsidRPr="00001061">
              <w:rPr>
                <w:rFonts w:ascii="Times New Roman" w:hAnsi="Times New Roman" w:cs="Times New Roman"/>
                <w:sz w:val="20"/>
                <w:szCs w:val="20"/>
                <w:lang w:val="uk-UA"/>
              </w:rPr>
              <w:t>Доходність акцій</w:t>
            </w:r>
          </w:p>
        </w:tc>
        <w:tc>
          <w:tcPr>
            <w:tcW w:w="1320" w:type="dxa"/>
            <w:gridSpan w:val="2"/>
          </w:tcPr>
          <w:p w:rsidR="00001061" w:rsidRPr="00001061" w:rsidRDefault="00001061" w:rsidP="00001061">
            <w:pPr>
              <w:rPr>
                <w:sz w:val="20"/>
                <w:szCs w:val="20"/>
              </w:rPr>
            </w:pPr>
            <w:r w:rsidRPr="00001061">
              <w:rPr>
                <w:rFonts w:ascii="Times New Roman" w:hAnsi="Times New Roman" w:cs="Times New Roman"/>
                <w:sz w:val="20"/>
                <w:szCs w:val="20"/>
                <w:lang w:val="uk-UA"/>
              </w:rPr>
              <w:t>Доходність акцій</w:t>
            </w:r>
          </w:p>
        </w:tc>
        <w:tc>
          <w:tcPr>
            <w:tcW w:w="1272" w:type="dxa"/>
            <w:gridSpan w:val="2"/>
          </w:tcPr>
          <w:p w:rsidR="00001061" w:rsidRPr="00001061" w:rsidRDefault="00001061" w:rsidP="00001061">
            <w:pPr>
              <w:jc w:val="both"/>
              <w:rPr>
                <w:rFonts w:ascii="Times New Roman" w:hAnsi="Times New Roman" w:cs="Times New Roman"/>
                <w:sz w:val="20"/>
                <w:szCs w:val="20"/>
                <w:lang w:val="uk-UA"/>
              </w:rPr>
            </w:pPr>
            <w:r w:rsidRPr="00001061">
              <w:rPr>
                <w:rFonts w:ascii="Times New Roman" w:hAnsi="Times New Roman" w:cs="Times New Roman"/>
                <w:sz w:val="20"/>
                <w:szCs w:val="20"/>
                <w:lang w:val="uk-UA"/>
              </w:rPr>
              <w:t>Доходність акцій</w:t>
            </w:r>
          </w:p>
        </w:tc>
      </w:tr>
      <w:tr w:rsidR="00001061" w:rsidTr="00001061">
        <w:tc>
          <w:tcPr>
            <w:tcW w:w="53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Рік</w:t>
            </w:r>
          </w:p>
        </w:tc>
        <w:tc>
          <w:tcPr>
            <w:tcW w:w="67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5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5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6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r>
      <w:tr w:rsidR="00001061" w:rsidTr="00001061">
        <w:tc>
          <w:tcPr>
            <w:tcW w:w="53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1</w:t>
            </w:r>
          </w:p>
        </w:tc>
        <w:tc>
          <w:tcPr>
            <w:tcW w:w="67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p>
        </w:tc>
        <w:tc>
          <w:tcPr>
            <w:tcW w:w="65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0,12</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0,12</w:t>
            </w:r>
          </w:p>
        </w:tc>
        <w:tc>
          <w:tcPr>
            <w:tcW w:w="65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p>
        </w:tc>
        <w:tc>
          <w:tcPr>
            <w:tcW w:w="66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0,12</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0,12</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0,12</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0,12</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0,12</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0,12</w:t>
            </w:r>
          </w:p>
        </w:tc>
      </w:tr>
      <w:tr w:rsidR="00001061" w:rsidTr="00001061">
        <w:tc>
          <w:tcPr>
            <w:tcW w:w="53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2</w:t>
            </w:r>
          </w:p>
        </w:tc>
        <w:tc>
          <w:tcPr>
            <w:tcW w:w="67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0,16</w:t>
            </w:r>
          </w:p>
        </w:tc>
        <w:tc>
          <w:tcPr>
            <w:tcW w:w="65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0,16</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5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0,16</w:t>
            </w:r>
          </w:p>
        </w:tc>
        <w:tc>
          <w:tcPr>
            <w:tcW w:w="66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0,16</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0,16</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0,16</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0,16</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0,16</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r>
      <w:tr w:rsidR="00001061" w:rsidTr="00001061">
        <w:tc>
          <w:tcPr>
            <w:tcW w:w="53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3</w:t>
            </w:r>
          </w:p>
        </w:tc>
        <w:tc>
          <w:tcPr>
            <w:tcW w:w="67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8</w:t>
            </w:r>
          </w:p>
        </w:tc>
        <w:tc>
          <w:tcPr>
            <w:tcW w:w="65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3</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6</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6</w:t>
            </w:r>
          </w:p>
        </w:tc>
        <w:tc>
          <w:tcPr>
            <w:tcW w:w="65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9</w:t>
            </w:r>
          </w:p>
        </w:tc>
        <w:tc>
          <w:tcPr>
            <w:tcW w:w="66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9</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1</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1</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2</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2</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5</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w:t>
            </w:r>
            <w:r>
              <w:rPr>
                <w:rFonts w:ascii="Times New Roman" w:hAnsi="Times New Roman" w:cs="Times New Roman"/>
                <w:sz w:val="24"/>
                <w:szCs w:val="24"/>
                <w:lang w:val="uk-UA"/>
              </w:rPr>
              <w:t>5</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w:t>
            </w:r>
            <w:r>
              <w:rPr>
                <w:rFonts w:ascii="Times New Roman" w:hAnsi="Times New Roman" w:cs="Times New Roman"/>
                <w:sz w:val="24"/>
                <w:szCs w:val="24"/>
                <w:lang w:val="uk-UA"/>
              </w:rPr>
              <w:t>2</w:t>
            </w:r>
            <w:r w:rsidRPr="00001061">
              <w:rPr>
                <w:rFonts w:ascii="Times New Roman" w:hAnsi="Times New Roman" w:cs="Times New Roman"/>
                <w:sz w:val="24"/>
                <w:szCs w:val="24"/>
                <w:lang w:val="uk-UA"/>
              </w:rPr>
              <w:t>4</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w:t>
            </w:r>
            <w:r>
              <w:rPr>
                <w:rFonts w:ascii="Times New Roman" w:hAnsi="Times New Roman" w:cs="Times New Roman"/>
                <w:sz w:val="24"/>
                <w:szCs w:val="24"/>
                <w:lang w:val="uk-UA"/>
              </w:rPr>
              <w:t>2</w:t>
            </w:r>
            <w:r w:rsidRPr="00001061">
              <w:rPr>
                <w:rFonts w:ascii="Times New Roman" w:hAnsi="Times New Roman" w:cs="Times New Roman"/>
                <w:sz w:val="24"/>
                <w:szCs w:val="24"/>
                <w:lang w:val="uk-UA"/>
              </w:rPr>
              <w:t>4</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w:t>
            </w:r>
            <w:r>
              <w:rPr>
                <w:rFonts w:ascii="Times New Roman" w:hAnsi="Times New Roman" w:cs="Times New Roman"/>
                <w:sz w:val="24"/>
                <w:szCs w:val="24"/>
                <w:lang w:val="uk-UA"/>
              </w:rPr>
              <w:t>21</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w:t>
            </w:r>
            <w:r>
              <w:rPr>
                <w:rFonts w:ascii="Times New Roman" w:hAnsi="Times New Roman" w:cs="Times New Roman"/>
                <w:sz w:val="24"/>
                <w:szCs w:val="24"/>
                <w:lang w:val="uk-UA"/>
              </w:rPr>
              <w:t>21</w:t>
            </w:r>
          </w:p>
        </w:tc>
      </w:tr>
      <w:tr w:rsidR="00001061" w:rsidTr="00001061">
        <w:tc>
          <w:tcPr>
            <w:tcW w:w="53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4</w:t>
            </w:r>
          </w:p>
        </w:tc>
        <w:tc>
          <w:tcPr>
            <w:tcW w:w="67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0,17</w:t>
            </w:r>
          </w:p>
        </w:tc>
        <w:tc>
          <w:tcPr>
            <w:tcW w:w="65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0,13</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0,17</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0,13</w:t>
            </w:r>
          </w:p>
        </w:tc>
        <w:tc>
          <w:tcPr>
            <w:tcW w:w="65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0,17</w:t>
            </w:r>
          </w:p>
        </w:tc>
        <w:tc>
          <w:tcPr>
            <w:tcW w:w="66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0,13</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0,17</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0,13</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0,17</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0,13</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0,17</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0,13</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0,17</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0,13</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0,17</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0,13</w:t>
            </w:r>
          </w:p>
        </w:tc>
      </w:tr>
      <w:tr w:rsidR="00001061" w:rsidTr="00001061">
        <w:tc>
          <w:tcPr>
            <w:tcW w:w="53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5</w:t>
            </w:r>
          </w:p>
        </w:tc>
        <w:tc>
          <w:tcPr>
            <w:tcW w:w="67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0,25</w:t>
            </w:r>
          </w:p>
        </w:tc>
        <w:tc>
          <w:tcPr>
            <w:tcW w:w="65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0,25</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5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0,25</w:t>
            </w:r>
          </w:p>
        </w:tc>
        <w:tc>
          <w:tcPr>
            <w:tcW w:w="663"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0,25</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62"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0,25</w:t>
            </w:r>
          </w:p>
        </w:tc>
        <w:tc>
          <w:tcPr>
            <w:tcW w:w="65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0,25</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0,25</w:t>
            </w:r>
          </w:p>
        </w:tc>
        <w:tc>
          <w:tcPr>
            <w:tcW w:w="660"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0,25</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0.18</w:t>
            </w:r>
          </w:p>
        </w:tc>
      </w:tr>
    </w:tbl>
    <w:p w:rsidR="009476A1" w:rsidRDefault="009476A1" w:rsidP="002F4481">
      <w:pPr>
        <w:ind w:firstLine="567"/>
        <w:jc w:val="both"/>
        <w:rPr>
          <w:rFonts w:ascii="Times New Roman" w:hAnsi="Times New Roman" w:cs="Times New Roman"/>
          <w:sz w:val="28"/>
          <w:szCs w:val="28"/>
          <w:lang w:val="uk-UA"/>
        </w:rPr>
      </w:pPr>
    </w:p>
    <w:tbl>
      <w:tblPr>
        <w:tblStyle w:val="a4"/>
        <w:tblW w:w="11194" w:type="dxa"/>
        <w:tblLook w:val="04A0" w:firstRow="1" w:lastRow="0" w:firstColumn="1" w:lastColumn="0" w:noHBand="0" w:noVBand="1"/>
      </w:tblPr>
      <w:tblGrid>
        <w:gridCol w:w="533"/>
        <w:gridCol w:w="672"/>
        <w:gridCol w:w="650"/>
        <w:gridCol w:w="658"/>
        <w:gridCol w:w="662"/>
        <w:gridCol w:w="657"/>
        <w:gridCol w:w="663"/>
        <w:gridCol w:w="660"/>
        <w:gridCol w:w="660"/>
        <w:gridCol w:w="662"/>
        <w:gridCol w:w="658"/>
        <w:gridCol w:w="660"/>
        <w:gridCol w:w="660"/>
        <w:gridCol w:w="660"/>
        <w:gridCol w:w="660"/>
        <w:gridCol w:w="636"/>
        <w:gridCol w:w="783"/>
      </w:tblGrid>
      <w:tr w:rsidR="00001061" w:rsidTr="00001061">
        <w:tc>
          <w:tcPr>
            <w:tcW w:w="533" w:type="dxa"/>
            <w:tcBorders>
              <w:top w:val="single" w:sz="4" w:space="0" w:color="auto"/>
              <w:left w:val="single" w:sz="4" w:space="0" w:color="auto"/>
              <w:bottom w:val="single" w:sz="4" w:space="0" w:color="auto"/>
              <w:right w:val="single" w:sz="4" w:space="0" w:color="auto"/>
            </w:tcBorders>
          </w:tcPr>
          <w:p w:rsidR="00001061" w:rsidRDefault="00001061">
            <w:pPr>
              <w:jc w:val="both"/>
              <w:rPr>
                <w:rFonts w:ascii="Times New Roman" w:hAnsi="Times New Roman" w:cs="Times New Roman"/>
                <w:sz w:val="24"/>
                <w:szCs w:val="24"/>
                <w:lang w:val="uk-UA"/>
              </w:rPr>
            </w:pPr>
          </w:p>
        </w:tc>
        <w:tc>
          <w:tcPr>
            <w:tcW w:w="1322"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Варіант 9</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10</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11</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12</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13</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14</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15</w:t>
            </w:r>
          </w:p>
        </w:tc>
        <w:tc>
          <w:tcPr>
            <w:tcW w:w="1419"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16</w:t>
            </w:r>
          </w:p>
        </w:tc>
      </w:tr>
      <w:tr w:rsidR="00001061" w:rsidTr="00001061">
        <w:tc>
          <w:tcPr>
            <w:tcW w:w="533" w:type="dxa"/>
            <w:tcBorders>
              <w:top w:val="single" w:sz="4" w:space="0" w:color="auto"/>
              <w:left w:val="single" w:sz="4" w:space="0" w:color="auto"/>
              <w:bottom w:val="single" w:sz="4" w:space="0" w:color="auto"/>
              <w:right w:val="single" w:sz="4" w:space="0" w:color="auto"/>
            </w:tcBorders>
          </w:tcPr>
          <w:p w:rsidR="00001061" w:rsidRDefault="00001061">
            <w:pPr>
              <w:jc w:val="both"/>
              <w:rPr>
                <w:rFonts w:ascii="Times New Roman" w:hAnsi="Times New Roman" w:cs="Times New Roman"/>
                <w:sz w:val="24"/>
                <w:szCs w:val="24"/>
                <w:lang w:val="uk-UA"/>
              </w:rPr>
            </w:pPr>
          </w:p>
        </w:tc>
        <w:tc>
          <w:tcPr>
            <w:tcW w:w="1322" w:type="dxa"/>
            <w:gridSpan w:val="2"/>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0"/>
                <w:szCs w:val="20"/>
                <w:lang w:val="uk-UA"/>
              </w:rPr>
            </w:pPr>
            <w:r>
              <w:rPr>
                <w:rFonts w:ascii="Times New Roman" w:hAnsi="Times New Roman" w:cs="Times New Roman"/>
                <w:sz w:val="20"/>
                <w:szCs w:val="20"/>
                <w:lang w:val="uk-UA"/>
              </w:rPr>
              <w:t>Доходність акцій</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pPr>
              <w:rPr>
                <w:sz w:val="20"/>
                <w:szCs w:val="20"/>
              </w:rPr>
            </w:pPr>
            <w:r>
              <w:rPr>
                <w:rFonts w:ascii="Times New Roman" w:hAnsi="Times New Roman" w:cs="Times New Roman"/>
                <w:sz w:val="20"/>
                <w:szCs w:val="20"/>
                <w:lang w:val="uk-UA"/>
              </w:rPr>
              <w:t>Доходність акцій</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pPr>
              <w:rPr>
                <w:sz w:val="20"/>
                <w:szCs w:val="20"/>
              </w:rPr>
            </w:pPr>
            <w:r>
              <w:rPr>
                <w:rFonts w:ascii="Times New Roman" w:hAnsi="Times New Roman" w:cs="Times New Roman"/>
                <w:sz w:val="20"/>
                <w:szCs w:val="20"/>
                <w:lang w:val="uk-UA"/>
              </w:rPr>
              <w:t>Доходність акцій</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pPr>
              <w:rPr>
                <w:sz w:val="20"/>
                <w:szCs w:val="20"/>
              </w:rPr>
            </w:pPr>
            <w:r>
              <w:rPr>
                <w:rFonts w:ascii="Times New Roman" w:hAnsi="Times New Roman" w:cs="Times New Roman"/>
                <w:sz w:val="20"/>
                <w:szCs w:val="20"/>
                <w:lang w:val="uk-UA"/>
              </w:rPr>
              <w:t>Доходність акцій</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pPr>
              <w:rPr>
                <w:sz w:val="20"/>
                <w:szCs w:val="20"/>
              </w:rPr>
            </w:pPr>
            <w:r>
              <w:rPr>
                <w:rFonts w:ascii="Times New Roman" w:hAnsi="Times New Roman" w:cs="Times New Roman"/>
                <w:sz w:val="20"/>
                <w:szCs w:val="20"/>
                <w:lang w:val="uk-UA"/>
              </w:rPr>
              <w:t>Доходність акцій</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pPr>
              <w:rPr>
                <w:sz w:val="20"/>
                <w:szCs w:val="20"/>
              </w:rPr>
            </w:pPr>
            <w:r>
              <w:rPr>
                <w:rFonts w:ascii="Times New Roman" w:hAnsi="Times New Roman" w:cs="Times New Roman"/>
                <w:sz w:val="20"/>
                <w:szCs w:val="20"/>
                <w:lang w:val="uk-UA"/>
              </w:rPr>
              <w:t>Доходність акцій</w:t>
            </w:r>
          </w:p>
        </w:tc>
        <w:tc>
          <w:tcPr>
            <w:tcW w:w="1320" w:type="dxa"/>
            <w:gridSpan w:val="2"/>
            <w:tcBorders>
              <w:top w:val="single" w:sz="4" w:space="0" w:color="auto"/>
              <w:left w:val="single" w:sz="4" w:space="0" w:color="auto"/>
              <w:bottom w:val="single" w:sz="4" w:space="0" w:color="auto"/>
              <w:right w:val="single" w:sz="4" w:space="0" w:color="auto"/>
            </w:tcBorders>
            <w:hideMark/>
          </w:tcPr>
          <w:p w:rsidR="00001061" w:rsidRDefault="00001061">
            <w:pPr>
              <w:rPr>
                <w:sz w:val="20"/>
                <w:szCs w:val="20"/>
              </w:rPr>
            </w:pPr>
            <w:r>
              <w:rPr>
                <w:rFonts w:ascii="Times New Roman" w:hAnsi="Times New Roman" w:cs="Times New Roman"/>
                <w:sz w:val="20"/>
                <w:szCs w:val="20"/>
                <w:lang w:val="uk-UA"/>
              </w:rPr>
              <w:t>Доходність акцій</w:t>
            </w:r>
          </w:p>
        </w:tc>
        <w:tc>
          <w:tcPr>
            <w:tcW w:w="1419" w:type="dxa"/>
            <w:gridSpan w:val="2"/>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0"/>
                <w:szCs w:val="20"/>
                <w:lang w:val="uk-UA"/>
              </w:rPr>
            </w:pPr>
            <w:r>
              <w:rPr>
                <w:rFonts w:ascii="Times New Roman" w:hAnsi="Times New Roman" w:cs="Times New Roman"/>
                <w:sz w:val="20"/>
                <w:szCs w:val="20"/>
                <w:lang w:val="uk-UA"/>
              </w:rPr>
              <w:t>Доходність акцій</w:t>
            </w:r>
          </w:p>
        </w:tc>
      </w:tr>
      <w:tr w:rsidR="00001061" w:rsidTr="00001061">
        <w:tc>
          <w:tcPr>
            <w:tcW w:w="53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Рік</w:t>
            </w:r>
          </w:p>
        </w:tc>
        <w:tc>
          <w:tcPr>
            <w:tcW w:w="67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5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57"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6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78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r>
      <w:tr w:rsidR="00001061" w:rsidTr="00001061">
        <w:tc>
          <w:tcPr>
            <w:tcW w:w="53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72"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65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57"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0,4</w:t>
            </w:r>
          </w:p>
        </w:tc>
        <w:tc>
          <w:tcPr>
            <w:tcW w:w="663"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0,14</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0,7</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0,17</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0,19</w:t>
            </w:r>
          </w:p>
        </w:tc>
        <w:tc>
          <w:tcPr>
            <w:tcW w:w="783"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0,19</w:t>
            </w:r>
          </w:p>
        </w:tc>
      </w:tr>
      <w:tr w:rsidR="00001061" w:rsidTr="00001061">
        <w:tc>
          <w:tcPr>
            <w:tcW w:w="53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7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5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57"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6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78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r>
      <w:tr w:rsidR="00001061" w:rsidTr="00001061">
        <w:tc>
          <w:tcPr>
            <w:tcW w:w="53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67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5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657"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0.19</w:t>
            </w:r>
          </w:p>
        </w:tc>
        <w:tc>
          <w:tcPr>
            <w:tcW w:w="66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0.19</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0.11</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0.11</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0.12</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0.12</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0.24</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0.24</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0.21</w:t>
            </w:r>
          </w:p>
        </w:tc>
        <w:tc>
          <w:tcPr>
            <w:tcW w:w="78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0.21</w:t>
            </w:r>
          </w:p>
        </w:tc>
      </w:tr>
      <w:tr w:rsidR="00001061" w:rsidTr="00001061">
        <w:tc>
          <w:tcPr>
            <w:tcW w:w="53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7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0,17</w:t>
            </w:r>
          </w:p>
        </w:tc>
        <w:tc>
          <w:tcPr>
            <w:tcW w:w="65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0,17</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57"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0,17</w:t>
            </w:r>
          </w:p>
        </w:tc>
        <w:tc>
          <w:tcPr>
            <w:tcW w:w="66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0,17</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0,17</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0,17</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0,17</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0,17</w:t>
            </w:r>
          </w:p>
        </w:tc>
        <w:tc>
          <w:tcPr>
            <w:tcW w:w="78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0,13</w:t>
            </w:r>
          </w:p>
        </w:tc>
      </w:tr>
      <w:tr w:rsidR="00001061" w:rsidTr="00001061">
        <w:tc>
          <w:tcPr>
            <w:tcW w:w="53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67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65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57"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66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62"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658"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660"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0,25</w:t>
            </w:r>
          </w:p>
        </w:tc>
        <w:tc>
          <w:tcPr>
            <w:tcW w:w="783" w:type="dxa"/>
            <w:tcBorders>
              <w:top w:val="single" w:sz="4" w:space="0" w:color="auto"/>
              <w:left w:val="single" w:sz="4" w:space="0" w:color="auto"/>
              <w:bottom w:val="single" w:sz="4" w:space="0" w:color="auto"/>
              <w:right w:val="single" w:sz="4" w:space="0" w:color="auto"/>
            </w:tcBorders>
            <w:hideMark/>
          </w:tcPr>
          <w:p w:rsidR="00001061" w:rsidRDefault="00001061">
            <w:pPr>
              <w:jc w:val="both"/>
              <w:rPr>
                <w:rFonts w:ascii="Times New Roman" w:hAnsi="Times New Roman" w:cs="Times New Roman"/>
                <w:sz w:val="24"/>
                <w:szCs w:val="24"/>
                <w:lang w:val="uk-UA"/>
              </w:rPr>
            </w:pPr>
            <w:r>
              <w:rPr>
                <w:rFonts w:ascii="Times New Roman" w:hAnsi="Times New Roman" w:cs="Times New Roman"/>
                <w:sz w:val="24"/>
                <w:szCs w:val="24"/>
                <w:lang w:val="uk-UA"/>
              </w:rPr>
              <w:t>0.18</w:t>
            </w:r>
          </w:p>
        </w:tc>
      </w:tr>
    </w:tbl>
    <w:p w:rsidR="00001061" w:rsidRDefault="00001061" w:rsidP="007B527B">
      <w:pPr>
        <w:ind w:firstLine="567"/>
        <w:rPr>
          <w:rFonts w:ascii="Times New Roman" w:hAnsi="Times New Roman" w:cs="Times New Roman"/>
          <w:sz w:val="28"/>
          <w:szCs w:val="28"/>
          <w:lang w:val="uk-UA"/>
        </w:rPr>
      </w:pPr>
    </w:p>
    <w:p w:rsidR="00001061" w:rsidRDefault="0000106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036D3" w:rsidRDefault="00455EB3" w:rsidP="007B527B">
      <w:pPr>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ЗАДАЧА </w:t>
      </w:r>
      <w:r w:rsidR="00001061">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p>
    <w:p w:rsidR="00455EB3" w:rsidRPr="00455EB3" w:rsidRDefault="00455EB3" w:rsidP="00001061">
      <w:pPr>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t xml:space="preserve">Дано ціни акцій за 6 періодів. Визначити оптимальний портфель за моделлю </w:t>
      </w:r>
      <w:r w:rsidR="007F1070">
        <w:rPr>
          <w:rFonts w:ascii="Times New Roman" w:hAnsi="Times New Roman" w:cs="Times New Roman"/>
          <w:noProof/>
          <w:sz w:val="28"/>
          <w:szCs w:val="28"/>
          <w:lang w:val="uk-UA" w:eastAsia="ru-RU"/>
        </w:rPr>
        <w:t>М</w:t>
      </w:r>
      <w:r>
        <w:rPr>
          <w:rFonts w:ascii="Times New Roman" w:hAnsi="Times New Roman" w:cs="Times New Roman"/>
          <w:noProof/>
          <w:sz w:val="28"/>
          <w:szCs w:val="28"/>
          <w:lang w:val="uk-UA" w:eastAsia="ru-RU"/>
        </w:rPr>
        <w:t xml:space="preserve">арковіца, якщо ризик портфеля не має перевищувати 15%. </w:t>
      </w:r>
    </w:p>
    <w:p w:rsidR="00001061" w:rsidRDefault="00001061" w:rsidP="00001061">
      <w:pPr>
        <w:ind w:firstLine="567"/>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867"/>
        <w:gridCol w:w="638"/>
        <w:gridCol w:w="637"/>
        <w:gridCol w:w="637"/>
        <w:gridCol w:w="636"/>
        <w:gridCol w:w="636"/>
        <w:gridCol w:w="636"/>
        <w:gridCol w:w="636"/>
        <w:gridCol w:w="636"/>
        <w:gridCol w:w="636"/>
        <w:gridCol w:w="636"/>
        <w:gridCol w:w="636"/>
        <w:gridCol w:w="636"/>
        <w:gridCol w:w="636"/>
        <w:gridCol w:w="636"/>
        <w:gridCol w:w="636"/>
        <w:gridCol w:w="636"/>
      </w:tblGrid>
      <w:tr w:rsidR="00001061" w:rsidTr="00001061">
        <w:tc>
          <w:tcPr>
            <w:tcW w:w="867" w:type="dxa"/>
          </w:tcPr>
          <w:p w:rsidR="00001061" w:rsidRPr="00001061" w:rsidRDefault="00001061" w:rsidP="00001061">
            <w:pPr>
              <w:jc w:val="both"/>
              <w:rPr>
                <w:rFonts w:ascii="Times New Roman" w:hAnsi="Times New Roman" w:cs="Times New Roman"/>
                <w:sz w:val="24"/>
                <w:szCs w:val="24"/>
                <w:lang w:val="uk-UA"/>
              </w:rPr>
            </w:pPr>
          </w:p>
        </w:tc>
        <w:tc>
          <w:tcPr>
            <w:tcW w:w="1275" w:type="dxa"/>
            <w:gridSpan w:val="2"/>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Варіант 1</w:t>
            </w:r>
          </w:p>
        </w:tc>
        <w:tc>
          <w:tcPr>
            <w:tcW w:w="1273"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2</w:t>
            </w:r>
          </w:p>
        </w:tc>
        <w:tc>
          <w:tcPr>
            <w:tcW w:w="1272"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3</w:t>
            </w:r>
          </w:p>
        </w:tc>
        <w:tc>
          <w:tcPr>
            <w:tcW w:w="1272"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4</w:t>
            </w:r>
          </w:p>
        </w:tc>
        <w:tc>
          <w:tcPr>
            <w:tcW w:w="1272"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5</w:t>
            </w:r>
          </w:p>
        </w:tc>
        <w:tc>
          <w:tcPr>
            <w:tcW w:w="1272"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6</w:t>
            </w:r>
          </w:p>
        </w:tc>
        <w:tc>
          <w:tcPr>
            <w:tcW w:w="1272"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7</w:t>
            </w:r>
          </w:p>
        </w:tc>
        <w:tc>
          <w:tcPr>
            <w:tcW w:w="1272" w:type="dxa"/>
            <w:gridSpan w:val="2"/>
          </w:tcPr>
          <w:p w:rsidR="00001061" w:rsidRDefault="00001061" w:rsidP="00001061">
            <w:r w:rsidRPr="00581E51">
              <w:rPr>
                <w:rFonts w:ascii="Times New Roman" w:hAnsi="Times New Roman" w:cs="Times New Roman"/>
                <w:sz w:val="24"/>
                <w:szCs w:val="24"/>
                <w:lang w:val="uk-UA"/>
              </w:rPr>
              <w:t xml:space="preserve">Варіант </w:t>
            </w:r>
            <w:r>
              <w:rPr>
                <w:rFonts w:ascii="Times New Roman" w:hAnsi="Times New Roman" w:cs="Times New Roman"/>
                <w:sz w:val="24"/>
                <w:szCs w:val="24"/>
                <w:lang w:val="uk-UA"/>
              </w:rPr>
              <w:t>8</w:t>
            </w:r>
          </w:p>
        </w:tc>
      </w:tr>
      <w:tr w:rsidR="00001061" w:rsidTr="00001061">
        <w:tc>
          <w:tcPr>
            <w:tcW w:w="867" w:type="dxa"/>
          </w:tcPr>
          <w:p w:rsidR="00001061" w:rsidRPr="00001061" w:rsidRDefault="00001061" w:rsidP="00001061">
            <w:pPr>
              <w:jc w:val="both"/>
              <w:rPr>
                <w:rFonts w:ascii="Times New Roman" w:hAnsi="Times New Roman" w:cs="Times New Roman"/>
                <w:sz w:val="24"/>
                <w:szCs w:val="24"/>
                <w:lang w:val="uk-UA"/>
              </w:rPr>
            </w:pPr>
          </w:p>
        </w:tc>
        <w:tc>
          <w:tcPr>
            <w:tcW w:w="1275" w:type="dxa"/>
            <w:gridSpan w:val="2"/>
          </w:tcPr>
          <w:p w:rsidR="00001061" w:rsidRPr="00001061" w:rsidRDefault="00001061" w:rsidP="00001061">
            <w:pPr>
              <w:jc w:val="both"/>
              <w:rPr>
                <w:rFonts w:ascii="Times New Roman" w:hAnsi="Times New Roman" w:cs="Times New Roman"/>
                <w:sz w:val="20"/>
                <w:szCs w:val="20"/>
                <w:lang w:val="uk-UA"/>
              </w:rPr>
            </w:pPr>
            <w:r>
              <w:rPr>
                <w:rFonts w:ascii="Times New Roman" w:hAnsi="Times New Roman" w:cs="Times New Roman"/>
                <w:sz w:val="20"/>
                <w:szCs w:val="20"/>
                <w:lang w:val="uk-UA"/>
              </w:rPr>
              <w:t>Ціна акцій</w:t>
            </w:r>
          </w:p>
        </w:tc>
        <w:tc>
          <w:tcPr>
            <w:tcW w:w="1273" w:type="dxa"/>
            <w:gridSpan w:val="2"/>
          </w:tcPr>
          <w:p w:rsidR="00001061" w:rsidRDefault="00001061" w:rsidP="00001061">
            <w:r w:rsidRPr="009B19B7">
              <w:rPr>
                <w:rFonts w:ascii="Times New Roman" w:hAnsi="Times New Roman" w:cs="Times New Roman"/>
                <w:sz w:val="20"/>
                <w:szCs w:val="20"/>
                <w:lang w:val="uk-UA"/>
              </w:rPr>
              <w:t>Ціна акцій</w:t>
            </w:r>
          </w:p>
        </w:tc>
        <w:tc>
          <w:tcPr>
            <w:tcW w:w="1272" w:type="dxa"/>
            <w:gridSpan w:val="2"/>
          </w:tcPr>
          <w:p w:rsidR="00001061" w:rsidRDefault="00001061" w:rsidP="00001061">
            <w:r w:rsidRPr="009B19B7">
              <w:rPr>
                <w:rFonts w:ascii="Times New Roman" w:hAnsi="Times New Roman" w:cs="Times New Roman"/>
                <w:sz w:val="20"/>
                <w:szCs w:val="20"/>
                <w:lang w:val="uk-UA"/>
              </w:rPr>
              <w:t>Ціна акцій</w:t>
            </w:r>
          </w:p>
        </w:tc>
        <w:tc>
          <w:tcPr>
            <w:tcW w:w="1272" w:type="dxa"/>
            <w:gridSpan w:val="2"/>
          </w:tcPr>
          <w:p w:rsidR="00001061" w:rsidRDefault="00001061" w:rsidP="00001061">
            <w:r w:rsidRPr="009B19B7">
              <w:rPr>
                <w:rFonts w:ascii="Times New Roman" w:hAnsi="Times New Roman" w:cs="Times New Roman"/>
                <w:sz w:val="20"/>
                <w:szCs w:val="20"/>
                <w:lang w:val="uk-UA"/>
              </w:rPr>
              <w:t>Ціна акцій</w:t>
            </w:r>
          </w:p>
        </w:tc>
        <w:tc>
          <w:tcPr>
            <w:tcW w:w="1272" w:type="dxa"/>
            <w:gridSpan w:val="2"/>
          </w:tcPr>
          <w:p w:rsidR="00001061" w:rsidRDefault="00001061" w:rsidP="00001061">
            <w:r w:rsidRPr="009B19B7">
              <w:rPr>
                <w:rFonts w:ascii="Times New Roman" w:hAnsi="Times New Roman" w:cs="Times New Roman"/>
                <w:sz w:val="20"/>
                <w:szCs w:val="20"/>
                <w:lang w:val="uk-UA"/>
              </w:rPr>
              <w:t>Ціна акцій</w:t>
            </w:r>
          </w:p>
        </w:tc>
        <w:tc>
          <w:tcPr>
            <w:tcW w:w="1272" w:type="dxa"/>
            <w:gridSpan w:val="2"/>
          </w:tcPr>
          <w:p w:rsidR="00001061" w:rsidRDefault="00001061" w:rsidP="00001061">
            <w:r w:rsidRPr="009B19B7">
              <w:rPr>
                <w:rFonts w:ascii="Times New Roman" w:hAnsi="Times New Roman" w:cs="Times New Roman"/>
                <w:sz w:val="20"/>
                <w:szCs w:val="20"/>
                <w:lang w:val="uk-UA"/>
              </w:rPr>
              <w:t>Ціна акцій</w:t>
            </w:r>
          </w:p>
        </w:tc>
        <w:tc>
          <w:tcPr>
            <w:tcW w:w="1272" w:type="dxa"/>
            <w:gridSpan w:val="2"/>
          </w:tcPr>
          <w:p w:rsidR="00001061" w:rsidRDefault="00001061" w:rsidP="00001061">
            <w:r w:rsidRPr="009B19B7">
              <w:rPr>
                <w:rFonts w:ascii="Times New Roman" w:hAnsi="Times New Roman" w:cs="Times New Roman"/>
                <w:sz w:val="20"/>
                <w:szCs w:val="20"/>
                <w:lang w:val="uk-UA"/>
              </w:rPr>
              <w:t>Ціна акцій</w:t>
            </w:r>
          </w:p>
        </w:tc>
        <w:tc>
          <w:tcPr>
            <w:tcW w:w="1272" w:type="dxa"/>
            <w:gridSpan w:val="2"/>
          </w:tcPr>
          <w:p w:rsidR="00001061" w:rsidRDefault="00001061" w:rsidP="00001061">
            <w:r w:rsidRPr="009B19B7">
              <w:rPr>
                <w:rFonts w:ascii="Times New Roman" w:hAnsi="Times New Roman" w:cs="Times New Roman"/>
                <w:sz w:val="20"/>
                <w:szCs w:val="20"/>
                <w:lang w:val="uk-UA"/>
              </w:rPr>
              <w:t>Ціна акцій</w:t>
            </w:r>
          </w:p>
        </w:tc>
      </w:tr>
      <w:tr w:rsidR="00001061" w:rsidTr="00001061">
        <w:tc>
          <w:tcPr>
            <w:tcW w:w="867" w:type="dxa"/>
          </w:tcPr>
          <w:p w:rsidR="00001061" w:rsidRPr="00001061" w:rsidRDefault="00001061" w:rsidP="00001061">
            <w:pPr>
              <w:jc w:val="both"/>
              <w:rPr>
                <w:rFonts w:ascii="Times New Roman" w:hAnsi="Times New Roman" w:cs="Times New Roman"/>
                <w:lang w:val="uk-UA"/>
              </w:rPr>
            </w:pPr>
            <w:r w:rsidRPr="00001061">
              <w:rPr>
                <w:rFonts w:ascii="Times New Roman" w:hAnsi="Times New Roman" w:cs="Times New Roman"/>
                <w:lang w:val="uk-UA"/>
              </w:rPr>
              <w:t>Період</w:t>
            </w:r>
          </w:p>
        </w:tc>
        <w:tc>
          <w:tcPr>
            <w:tcW w:w="638"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3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3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А</w:t>
            </w:r>
          </w:p>
        </w:tc>
        <w:tc>
          <w:tcPr>
            <w:tcW w:w="636"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Б</w:t>
            </w:r>
          </w:p>
        </w:tc>
      </w:tr>
      <w:tr w:rsidR="00001061" w:rsidTr="00001061">
        <w:tc>
          <w:tcPr>
            <w:tcW w:w="86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1</w:t>
            </w:r>
          </w:p>
        </w:tc>
        <w:tc>
          <w:tcPr>
            <w:tcW w:w="638"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37"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7"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r>
      <w:tr w:rsidR="00001061" w:rsidTr="00001061">
        <w:tc>
          <w:tcPr>
            <w:tcW w:w="86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2</w:t>
            </w:r>
          </w:p>
        </w:tc>
        <w:tc>
          <w:tcPr>
            <w:tcW w:w="638"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7"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37"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r>
      <w:tr w:rsidR="00001061" w:rsidTr="00001061">
        <w:tc>
          <w:tcPr>
            <w:tcW w:w="86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3</w:t>
            </w:r>
          </w:p>
        </w:tc>
        <w:tc>
          <w:tcPr>
            <w:tcW w:w="638"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37"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37"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39</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r>
      <w:tr w:rsidR="00001061" w:rsidTr="00001061">
        <w:tc>
          <w:tcPr>
            <w:tcW w:w="86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4</w:t>
            </w:r>
          </w:p>
        </w:tc>
        <w:tc>
          <w:tcPr>
            <w:tcW w:w="638"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7"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7"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r>
      <w:tr w:rsidR="00001061" w:rsidTr="00001061">
        <w:tc>
          <w:tcPr>
            <w:tcW w:w="867" w:type="dxa"/>
          </w:tcPr>
          <w:p w:rsidR="00001061" w:rsidRPr="00001061" w:rsidRDefault="00001061" w:rsidP="00001061">
            <w:pPr>
              <w:jc w:val="both"/>
              <w:rPr>
                <w:rFonts w:ascii="Times New Roman" w:hAnsi="Times New Roman" w:cs="Times New Roman"/>
                <w:sz w:val="24"/>
                <w:szCs w:val="24"/>
                <w:lang w:val="uk-UA"/>
              </w:rPr>
            </w:pPr>
            <w:r w:rsidRPr="00001061">
              <w:rPr>
                <w:rFonts w:ascii="Times New Roman" w:hAnsi="Times New Roman" w:cs="Times New Roman"/>
                <w:sz w:val="24"/>
                <w:szCs w:val="24"/>
                <w:lang w:val="uk-UA"/>
              </w:rPr>
              <w:t>5</w:t>
            </w:r>
          </w:p>
        </w:tc>
        <w:tc>
          <w:tcPr>
            <w:tcW w:w="638"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37"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7"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39</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r>
      <w:tr w:rsidR="00001061" w:rsidTr="00001061">
        <w:tc>
          <w:tcPr>
            <w:tcW w:w="867"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638"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7" w:type="dxa"/>
          </w:tcPr>
          <w:p w:rsidR="00001061" w:rsidRP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37"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r>
    </w:tbl>
    <w:p w:rsidR="00001061" w:rsidRDefault="00001061" w:rsidP="00001061">
      <w:pPr>
        <w:ind w:firstLine="567"/>
        <w:jc w:val="both"/>
        <w:rPr>
          <w:rFonts w:ascii="Times New Roman" w:hAnsi="Times New Roman" w:cs="Times New Roman"/>
          <w:sz w:val="28"/>
          <w:szCs w:val="28"/>
          <w:lang w:val="uk-UA"/>
        </w:rPr>
      </w:pPr>
    </w:p>
    <w:tbl>
      <w:tblPr>
        <w:tblStyle w:val="a4"/>
        <w:tblW w:w="11194" w:type="dxa"/>
        <w:tblLook w:val="04A0" w:firstRow="1" w:lastRow="0" w:firstColumn="1" w:lastColumn="0" w:noHBand="0" w:noVBand="1"/>
      </w:tblPr>
      <w:tblGrid>
        <w:gridCol w:w="925"/>
        <w:gridCol w:w="642"/>
        <w:gridCol w:w="638"/>
        <w:gridCol w:w="640"/>
        <w:gridCol w:w="641"/>
        <w:gridCol w:w="640"/>
        <w:gridCol w:w="641"/>
        <w:gridCol w:w="641"/>
        <w:gridCol w:w="641"/>
        <w:gridCol w:w="641"/>
        <w:gridCol w:w="640"/>
        <w:gridCol w:w="641"/>
        <w:gridCol w:w="641"/>
        <w:gridCol w:w="641"/>
        <w:gridCol w:w="641"/>
        <w:gridCol w:w="636"/>
        <w:gridCol w:w="664"/>
      </w:tblGrid>
      <w:tr w:rsidR="00001061" w:rsidTr="00001061">
        <w:tc>
          <w:tcPr>
            <w:tcW w:w="925"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p>
        </w:tc>
        <w:tc>
          <w:tcPr>
            <w:tcW w:w="128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Варіант 9</w:t>
            </w:r>
          </w:p>
        </w:tc>
        <w:tc>
          <w:tcPr>
            <w:tcW w:w="1281"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10</w:t>
            </w:r>
          </w:p>
        </w:tc>
        <w:tc>
          <w:tcPr>
            <w:tcW w:w="1281"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11</w:t>
            </w:r>
          </w:p>
        </w:tc>
        <w:tc>
          <w:tcPr>
            <w:tcW w:w="1282"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12</w:t>
            </w:r>
          </w:p>
        </w:tc>
        <w:tc>
          <w:tcPr>
            <w:tcW w:w="1281"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13</w:t>
            </w:r>
          </w:p>
        </w:tc>
        <w:tc>
          <w:tcPr>
            <w:tcW w:w="1282"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14</w:t>
            </w:r>
          </w:p>
        </w:tc>
        <w:tc>
          <w:tcPr>
            <w:tcW w:w="1282"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15</w:t>
            </w:r>
          </w:p>
        </w:tc>
        <w:tc>
          <w:tcPr>
            <w:tcW w:w="130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Pr>
                <w:rFonts w:ascii="Times New Roman" w:hAnsi="Times New Roman" w:cs="Times New Roman"/>
                <w:sz w:val="24"/>
                <w:szCs w:val="24"/>
                <w:lang w:val="uk-UA"/>
              </w:rPr>
              <w:t>Варіант 16</w:t>
            </w:r>
          </w:p>
        </w:tc>
      </w:tr>
      <w:tr w:rsidR="00001061" w:rsidTr="00001061">
        <w:tc>
          <w:tcPr>
            <w:tcW w:w="925"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p>
        </w:tc>
        <w:tc>
          <w:tcPr>
            <w:tcW w:w="128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sidRPr="00B877E4">
              <w:rPr>
                <w:rFonts w:ascii="Times New Roman" w:hAnsi="Times New Roman" w:cs="Times New Roman"/>
                <w:sz w:val="20"/>
                <w:szCs w:val="20"/>
                <w:lang w:val="uk-UA"/>
              </w:rPr>
              <w:t>Ціна акцій</w:t>
            </w:r>
          </w:p>
        </w:tc>
        <w:tc>
          <w:tcPr>
            <w:tcW w:w="1281"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sidRPr="00B877E4">
              <w:rPr>
                <w:rFonts w:ascii="Times New Roman" w:hAnsi="Times New Roman" w:cs="Times New Roman"/>
                <w:sz w:val="20"/>
                <w:szCs w:val="20"/>
                <w:lang w:val="uk-UA"/>
              </w:rPr>
              <w:t>Ціна акцій</w:t>
            </w:r>
          </w:p>
        </w:tc>
        <w:tc>
          <w:tcPr>
            <w:tcW w:w="1281"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sidRPr="00B877E4">
              <w:rPr>
                <w:rFonts w:ascii="Times New Roman" w:hAnsi="Times New Roman" w:cs="Times New Roman"/>
                <w:sz w:val="20"/>
                <w:szCs w:val="20"/>
                <w:lang w:val="uk-UA"/>
              </w:rPr>
              <w:t>Ціна акцій</w:t>
            </w:r>
          </w:p>
        </w:tc>
        <w:tc>
          <w:tcPr>
            <w:tcW w:w="1282"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sidRPr="00B877E4">
              <w:rPr>
                <w:rFonts w:ascii="Times New Roman" w:hAnsi="Times New Roman" w:cs="Times New Roman"/>
                <w:sz w:val="20"/>
                <w:szCs w:val="20"/>
                <w:lang w:val="uk-UA"/>
              </w:rPr>
              <w:t>Ціна акцій</w:t>
            </w:r>
          </w:p>
        </w:tc>
        <w:tc>
          <w:tcPr>
            <w:tcW w:w="1281"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sidRPr="00B877E4">
              <w:rPr>
                <w:rFonts w:ascii="Times New Roman" w:hAnsi="Times New Roman" w:cs="Times New Roman"/>
                <w:sz w:val="20"/>
                <w:szCs w:val="20"/>
                <w:lang w:val="uk-UA"/>
              </w:rPr>
              <w:t>Ціна акцій</w:t>
            </w:r>
          </w:p>
        </w:tc>
        <w:tc>
          <w:tcPr>
            <w:tcW w:w="1282"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sidRPr="00B877E4">
              <w:rPr>
                <w:rFonts w:ascii="Times New Roman" w:hAnsi="Times New Roman" w:cs="Times New Roman"/>
                <w:sz w:val="20"/>
                <w:szCs w:val="20"/>
                <w:lang w:val="uk-UA"/>
              </w:rPr>
              <w:t>Ціна акцій</w:t>
            </w:r>
          </w:p>
        </w:tc>
        <w:tc>
          <w:tcPr>
            <w:tcW w:w="1282"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sidRPr="00B877E4">
              <w:rPr>
                <w:rFonts w:ascii="Times New Roman" w:hAnsi="Times New Roman" w:cs="Times New Roman"/>
                <w:sz w:val="20"/>
                <w:szCs w:val="20"/>
                <w:lang w:val="uk-UA"/>
              </w:rPr>
              <w:t>Ціна акцій</w:t>
            </w:r>
          </w:p>
        </w:tc>
        <w:tc>
          <w:tcPr>
            <w:tcW w:w="1300" w:type="dxa"/>
            <w:gridSpan w:val="2"/>
            <w:tcBorders>
              <w:top w:val="single" w:sz="4" w:space="0" w:color="auto"/>
              <w:left w:val="single" w:sz="4" w:space="0" w:color="auto"/>
              <w:bottom w:val="single" w:sz="4" w:space="0" w:color="auto"/>
              <w:right w:val="single" w:sz="4" w:space="0" w:color="auto"/>
            </w:tcBorders>
            <w:hideMark/>
          </w:tcPr>
          <w:p w:rsidR="00001061" w:rsidRDefault="00001061" w:rsidP="00001061">
            <w:r w:rsidRPr="00B877E4">
              <w:rPr>
                <w:rFonts w:ascii="Times New Roman" w:hAnsi="Times New Roman" w:cs="Times New Roman"/>
                <w:sz w:val="20"/>
                <w:szCs w:val="20"/>
                <w:lang w:val="uk-UA"/>
              </w:rPr>
              <w:t>Ціна акцій</w:t>
            </w:r>
          </w:p>
        </w:tc>
      </w:tr>
      <w:tr w:rsidR="00001061" w:rsidTr="00001061">
        <w:tc>
          <w:tcPr>
            <w:tcW w:w="925"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Період</w:t>
            </w:r>
          </w:p>
        </w:tc>
        <w:tc>
          <w:tcPr>
            <w:tcW w:w="642"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38"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664"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Б</w:t>
            </w:r>
          </w:p>
        </w:tc>
      </w:tr>
      <w:tr w:rsidR="00001061" w:rsidTr="00001061">
        <w:tc>
          <w:tcPr>
            <w:tcW w:w="925"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42"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38"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664"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r>
      <w:tr w:rsidR="00001061" w:rsidTr="00001061">
        <w:tc>
          <w:tcPr>
            <w:tcW w:w="925"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42"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8"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664"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27</w:t>
            </w:r>
          </w:p>
        </w:tc>
      </w:tr>
      <w:tr w:rsidR="00001061" w:rsidTr="00001061">
        <w:tc>
          <w:tcPr>
            <w:tcW w:w="925"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642"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638"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39</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37</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664"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r>
      <w:tr w:rsidR="00001061" w:rsidTr="00001061">
        <w:tc>
          <w:tcPr>
            <w:tcW w:w="925"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42"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38"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664"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r>
      <w:tr w:rsidR="00001061" w:rsidTr="00001061">
        <w:tc>
          <w:tcPr>
            <w:tcW w:w="925"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642"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38"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37</w:t>
            </w:r>
          </w:p>
        </w:tc>
        <w:tc>
          <w:tcPr>
            <w:tcW w:w="640"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41"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636"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664" w:type="dxa"/>
            <w:tcBorders>
              <w:top w:val="single" w:sz="4" w:space="0" w:color="auto"/>
              <w:left w:val="single" w:sz="4" w:space="0" w:color="auto"/>
              <w:bottom w:val="single" w:sz="4" w:space="0" w:color="auto"/>
              <w:right w:val="single" w:sz="4" w:space="0" w:color="auto"/>
            </w:tcBorders>
            <w:hideMark/>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r>
      <w:tr w:rsidR="00001061" w:rsidTr="00001061">
        <w:tc>
          <w:tcPr>
            <w:tcW w:w="925"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642"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38"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40"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40"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41"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41"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0"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41"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41"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41"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636"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664" w:type="dxa"/>
            <w:tcBorders>
              <w:top w:val="single" w:sz="4" w:space="0" w:color="auto"/>
              <w:left w:val="single" w:sz="4" w:space="0" w:color="auto"/>
              <w:bottom w:val="single" w:sz="4" w:space="0" w:color="auto"/>
              <w:right w:val="single" w:sz="4" w:space="0" w:color="auto"/>
            </w:tcBorders>
          </w:tcPr>
          <w:p w:rsidR="00001061" w:rsidRDefault="00001061" w:rsidP="00001061">
            <w:pPr>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r>
    </w:tbl>
    <w:p w:rsidR="00455EB3" w:rsidRPr="007B527B" w:rsidRDefault="00455EB3" w:rsidP="00455EB3">
      <w:pPr>
        <w:ind w:firstLine="567"/>
        <w:rPr>
          <w:rFonts w:ascii="Times New Roman" w:hAnsi="Times New Roman" w:cs="Times New Roman"/>
          <w:sz w:val="28"/>
          <w:szCs w:val="28"/>
        </w:rPr>
      </w:pPr>
    </w:p>
    <w:p w:rsidR="00630CFD" w:rsidRPr="00001061" w:rsidRDefault="002F4481" w:rsidP="00001061">
      <w:pPr>
        <w:ind w:left="567"/>
        <w:rPr>
          <w:rFonts w:ascii="Times New Roman" w:hAnsi="Times New Roman" w:cs="Times New Roman"/>
          <w:noProof/>
          <w:sz w:val="28"/>
          <w:szCs w:val="28"/>
          <w:lang w:val="uk-UA" w:eastAsia="ru-RU"/>
        </w:rPr>
      </w:pPr>
      <w:r w:rsidRPr="00001061">
        <w:rPr>
          <w:rFonts w:ascii="Times New Roman" w:hAnsi="Times New Roman" w:cs="Times New Roman"/>
          <w:noProof/>
          <w:sz w:val="28"/>
          <w:szCs w:val="28"/>
          <w:lang w:val="uk-UA" w:eastAsia="ru-RU"/>
        </w:rPr>
        <w:t xml:space="preserve">Розглянути пряму і зворотню задачі. Коротко пояснити різницю між прямою та зворотньою задачами. Зробити висновки. </w:t>
      </w:r>
    </w:p>
    <w:p w:rsidR="00E036D3" w:rsidRDefault="00001061" w:rsidP="00001061">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ЗМІСТ ЗВІТУ</w:t>
      </w:r>
    </w:p>
    <w:p w:rsidR="00001061" w:rsidRDefault="00001061" w:rsidP="00001061">
      <w:pPr>
        <w:pStyle w:val="a3"/>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Навести короткі відомості про методи оцінки ризику цінних паперів та модель Марковіца.</w:t>
      </w:r>
    </w:p>
    <w:p w:rsidR="00001061" w:rsidRDefault="00001061" w:rsidP="00001061">
      <w:pPr>
        <w:pStyle w:val="a3"/>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 xml:space="preserve"> Описати сутність та порядок реалізації моделі Марковіца</w:t>
      </w:r>
    </w:p>
    <w:p w:rsidR="00001061" w:rsidRDefault="003E0CA4" w:rsidP="00001061">
      <w:pPr>
        <w:pStyle w:val="a3"/>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Навести</w:t>
      </w:r>
      <w:r w:rsidR="00001061">
        <w:rPr>
          <w:rFonts w:ascii="Times New Roman" w:hAnsi="Times New Roman" w:cs="Times New Roman"/>
          <w:sz w:val="28"/>
          <w:szCs w:val="28"/>
          <w:lang w:val="uk-UA"/>
        </w:rPr>
        <w:t xml:space="preserve"> розв*язання задач. </w:t>
      </w:r>
    </w:p>
    <w:p w:rsidR="00001061" w:rsidRPr="00001061" w:rsidRDefault="00001061" w:rsidP="00001061">
      <w:pPr>
        <w:pStyle w:val="a3"/>
        <w:numPr>
          <w:ilvl w:val="0"/>
          <w:numId w:val="5"/>
        </w:numPr>
        <w:rPr>
          <w:rFonts w:ascii="Times New Roman" w:hAnsi="Times New Roman" w:cs="Times New Roman"/>
          <w:sz w:val="28"/>
          <w:szCs w:val="28"/>
          <w:lang w:val="uk-UA"/>
        </w:rPr>
      </w:pPr>
      <w:r>
        <w:rPr>
          <w:rFonts w:ascii="Times New Roman" w:hAnsi="Times New Roman" w:cs="Times New Roman"/>
          <w:sz w:val="28"/>
          <w:szCs w:val="28"/>
          <w:lang w:val="uk-UA"/>
        </w:rPr>
        <w:t>Зробити висновки</w:t>
      </w:r>
    </w:p>
    <w:p w:rsidR="007B527B" w:rsidRPr="007B527B" w:rsidRDefault="007B527B" w:rsidP="007B527B">
      <w:pPr>
        <w:ind w:firstLine="567"/>
        <w:rPr>
          <w:rFonts w:ascii="Times New Roman" w:hAnsi="Times New Roman" w:cs="Times New Roman"/>
          <w:sz w:val="28"/>
          <w:szCs w:val="28"/>
          <w:lang w:val="uk-UA"/>
        </w:rPr>
      </w:pPr>
    </w:p>
    <w:p w:rsidR="007B527B" w:rsidRPr="007B527B" w:rsidRDefault="007B527B" w:rsidP="007B527B">
      <w:pPr>
        <w:ind w:firstLine="567"/>
        <w:rPr>
          <w:rFonts w:ascii="Times New Roman" w:hAnsi="Times New Roman" w:cs="Times New Roman"/>
          <w:sz w:val="28"/>
          <w:szCs w:val="28"/>
          <w:lang w:val="uk-UA"/>
        </w:rPr>
      </w:pPr>
    </w:p>
    <w:sectPr w:rsidR="007B527B" w:rsidRPr="007B527B" w:rsidSect="00630CFD">
      <w:pgSz w:w="11906" w:h="16838"/>
      <w:pgMar w:top="1134" w:right="282"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F7749"/>
    <w:multiLevelType w:val="multilevel"/>
    <w:tmpl w:val="93D26234"/>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4C397094"/>
    <w:multiLevelType w:val="hybridMultilevel"/>
    <w:tmpl w:val="5F0E28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53AB7C14"/>
    <w:multiLevelType w:val="hybridMultilevel"/>
    <w:tmpl w:val="2C1C994C"/>
    <w:lvl w:ilvl="0" w:tplc="CD3E37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F20197E"/>
    <w:multiLevelType w:val="hybridMultilevel"/>
    <w:tmpl w:val="7BCEF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7476071"/>
    <w:multiLevelType w:val="hybridMultilevel"/>
    <w:tmpl w:val="5E7079BE"/>
    <w:lvl w:ilvl="0" w:tplc="D436B2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C8C"/>
    <w:rsid w:val="00001061"/>
    <w:rsid w:val="00087664"/>
    <w:rsid w:val="00254F16"/>
    <w:rsid w:val="002F4481"/>
    <w:rsid w:val="00330C78"/>
    <w:rsid w:val="003706F8"/>
    <w:rsid w:val="00396921"/>
    <w:rsid w:val="003E0CA4"/>
    <w:rsid w:val="00455EB3"/>
    <w:rsid w:val="00482593"/>
    <w:rsid w:val="00630CFD"/>
    <w:rsid w:val="006D51F4"/>
    <w:rsid w:val="00717D6A"/>
    <w:rsid w:val="0072309A"/>
    <w:rsid w:val="007B527B"/>
    <w:rsid w:val="007F1070"/>
    <w:rsid w:val="009476A1"/>
    <w:rsid w:val="00A42EDD"/>
    <w:rsid w:val="00B42D04"/>
    <w:rsid w:val="00BD2385"/>
    <w:rsid w:val="00C503F1"/>
    <w:rsid w:val="00CE3E82"/>
    <w:rsid w:val="00D007C0"/>
    <w:rsid w:val="00D30CC7"/>
    <w:rsid w:val="00DE192D"/>
    <w:rsid w:val="00E036D3"/>
    <w:rsid w:val="00EC77AB"/>
    <w:rsid w:val="00F33837"/>
    <w:rsid w:val="00F36C8C"/>
    <w:rsid w:val="00F41348"/>
    <w:rsid w:val="00F97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DD543B-D075-44CF-B208-9EE54271D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061"/>
  </w:style>
  <w:style w:type="paragraph" w:styleId="1">
    <w:name w:val="heading 1"/>
    <w:basedOn w:val="a"/>
    <w:link w:val="10"/>
    <w:uiPriority w:val="9"/>
    <w:qFormat/>
    <w:rsid w:val="00F413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1348"/>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CE3E82"/>
    <w:pPr>
      <w:ind w:left="720"/>
      <w:contextualSpacing/>
    </w:pPr>
  </w:style>
  <w:style w:type="table" w:styleId="a4">
    <w:name w:val="Table Grid"/>
    <w:basedOn w:val="a1"/>
    <w:uiPriority w:val="39"/>
    <w:rsid w:val="00E03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717D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2324">
      <w:bodyDiv w:val="1"/>
      <w:marLeft w:val="0"/>
      <w:marRight w:val="0"/>
      <w:marTop w:val="0"/>
      <w:marBottom w:val="0"/>
      <w:divBdr>
        <w:top w:val="none" w:sz="0" w:space="0" w:color="auto"/>
        <w:left w:val="none" w:sz="0" w:space="0" w:color="auto"/>
        <w:bottom w:val="none" w:sz="0" w:space="0" w:color="auto"/>
        <w:right w:val="none" w:sz="0" w:space="0" w:color="auto"/>
      </w:divBdr>
    </w:div>
    <w:div w:id="200941129">
      <w:bodyDiv w:val="1"/>
      <w:marLeft w:val="0"/>
      <w:marRight w:val="0"/>
      <w:marTop w:val="0"/>
      <w:marBottom w:val="0"/>
      <w:divBdr>
        <w:top w:val="none" w:sz="0" w:space="0" w:color="auto"/>
        <w:left w:val="none" w:sz="0" w:space="0" w:color="auto"/>
        <w:bottom w:val="none" w:sz="0" w:space="0" w:color="auto"/>
        <w:right w:val="none" w:sz="0" w:space="0" w:color="auto"/>
      </w:divBdr>
    </w:div>
    <w:div w:id="313147293">
      <w:bodyDiv w:val="1"/>
      <w:marLeft w:val="0"/>
      <w:marRight w:val="0"/>
      <w:marTop w:val="0"/>
      <w:marBottom w:val="0"/>
      <w:divBdr>
        <w:top w:val="none" w:sz="0" w:space="0" w:color="auto"/>
        <w:left w:val="none" w:sz="0" w:space="0" w:color="auto"/>
        <w:bottom w:val="none" w:sz="0" w:space="0" w:color="auto"/>
        <w:right w:val="none" w:sz="0" w:space="0" w:color="auto"/>
      </w:divBdr>
    </w:div>
    <w:div w:id="451753630">
      <w:bodyDiv w:val="1"/>
      <w:marLeft w:val="0"/>
      <w:marRight w:val="0"/>
      <w:marTop w:val="0"/>
      <w:marBottom w:val="0"/>
      <w:divBdr>
        <w:top w:val="none" w:sz="0" w:space="0" w:color="auto"/>
        <w:left w:val="none" w:sz="0" w:space="0" w:color="auto"/>
        <w:bottom w:val="none" w:sz="0" w:space="0" w:color="auto"/>
        <w:right w:val="none" w:sz="0" w:space="0" w:color="auto"/>
      </w:divBdr>
    </w:div>
    <w:div w:id="613829621">
      <w:bodyDiv w:val="1"/>
      <w:marLeft w:val="0"/>
      <w:marRight w:val="0"/>
      <w:marTop w:val="0"/>
      <w:marBottom w:val="0"/>
      <w:divBdr>
        <w:top w:val="none" w:sz="0" w:space="0" w:color="auto"/>
        <w:left w:val="none" w:sz="0" w:space="0" w:color="auto"/>
        <w:bottom w:val="none" w:sz="0" w:space="0" w:color="auto"/>
        <w:right w:val="none" w:sz="0" w:space="0" w:color="auto"/>
      </w:divBdr>
    </w:div>
    <w:div w:id="615798256">
      <w:bodyDiv w:val="1"/>
      <w:marLeft w:val="0"/>
      <w:marRight w:val="0"/>
      <w:marTop w:val="0"/>
      <w:marBottom w:val="0"/>
      <w:divBdr>
        <w:top w:val="none" w:sz="0" w:space="0" w:color="auto"/>
        <w:left w:val="none" w:sz="0" w:space="0" w:color="auto"/>
        <w:bottom w:val="none" w:sz="0" w:space="0" w:color="auto"/>
        <w:right w:val="none" w:sz="0" w:space="0" w:color="auto"/>
      </w:divBdr>
    </w:div>
    <w:div w:id="695619890">
      <w:bodyDiv w:val="1"/>
      <w:marLeft w:val="0"/>
      <w:marRight w:val="0"/>
      <w:marTop w:val="0"/>
      <w:marBottom w:val="0"/>
      <w:divBdr>
        <w:top w:val="none" w:sz="0" w:space="0" w:color="auto"/>
        <w:left w:val="none" w:sz="0" w:space="0" w:color="auto"/>
        <w:bottom w:val="none" w:sz="0" w:space="0" w:color="auto"/>
        <w:right w:val="none" w:sz="0" w:space="0" w:color="auto"/>
      </w:divBdr>
    </w:div>
    <w:div w:id="824660499">
      <w:bodyDiv w:val="1"/>
      <w:marLeft w:val="0"/>
      <w:marRight w:val="0"/>
      <w:marTop w:val="0"/>
      <w:marBottom w:val="0"/>
      <w:divBdr>
        <w:top w:val="none" w:sz="0" w:space="0" w:color="auto"/>
        <w:left w:val="none" w:sz="0" w:space="0" w:color="auto"/>
        <w:bottom w:val="none" w:sz="0" w:space="0" w:color="auto"/>
        <w:right w:val="none" w:sz="0" w:space="0" w:color="auto"/>
      </w:divBdr>
    </w:div>
    <w:div w:id="863905623">
      <w:bodyDiv w:val="1"/>
      <w:marLeft w:val="0"/>
      <w:marRight w:val="0"/>
      <w:marTop w:val="0"/>
      <w:marBottom w:val="0"/>
      <w:divBdr>
        <w:top w:val="none" w:sz="0" w:space="0" w:color="auto"/>
        <w:left w:val="none" w:sz="0" w:space="0" w:color="auto"/>
        <w:bottom w:val="none" w:sz="0" w:space="0" w:color="auto"/>
        <w:right w:val="none" w:sz="0" w:space="0" w:color="auto"/>
      </w:divBdr>
    </w:div>
    <w:div w:id="894971316">
      <w:bodyDiv w:val="1"/>
      <w:marLeft w:val="0"/>
      <w:marRight w:val="0"/>
      <w:marTop w:val="0"/>
      <w:marBottom w:val="0"/>
      <w:divBdr>
        <w:top w:val="none" w:sz="0" w:space="0" w:color="auto"/>
        <w:left w:val="none" w:sz="0" w:space="0" w:color="auto"/>
        <w:bottom w:val="none" w:sz="0" w:space="0" w:color="auto"/>
        <w:right w:val="none" w:sz="0" w:space="0" w:color="auto"/>
      </w:divBdr>
    </w:div>
    <w:div w:id="992761351">
      <w:bodyDiv w:val="1"/>
      <w:marLeft w:val="0"/>
      <w:marRight w:val="0"/>
      <w:marTop w:val="0"/>
      <w:marBottom w:val="0"/>
      <w:divBdr>
        <w:top w:val="none" w:sz="0" w:space="0" w:color="auto"/>
        <w:left w:val="none" w:sz="0" w:space="0" w:color="auto"/>
        <w:bottom w:val="none" w:sz="0" w:space="0" w:color="auto"/>
        <w:right w:val="none" w:sz="0" w:space="0" w:color="auto"/>
      </w:divBdr>
    </w:div>
    <w:div w:id="1053651418">
      <w:bodyDiv w:val="1"/>
      <w:marLeft w:val="0"/>
      <w:marRight w:val="0"/>
      <w:marTop w:val="0"/>
      <w:marBottom w:val="0"/>
      <w:divBdr>
        <w:top w:val="none" w:sz="0" w:space="0" w:color="auto"/>
        <w:left w:val="none" w:sz="0" w:space="0" w:color="auto"/>
        <w:bottom w:val="none" w:sz="0" w:space="0" w:color="auto"/>
        <w:right w:val="none" w:sz="0" w:space="0" w:color="auto"/>
      </w:divBdr>
    </w:div>
    <w:div w:id="1091775723">
      <w:bodyDiv w:val="1"/>
      <w:marLeft w:val="0"/>
      <w:marRight w:val="0"/>
      <w:marTop w:val="0"/>
      <w:marBottom w:val="0"/>
      <w:divBdr>
        <w:top w:val="none" w:sz="0" w:space="0" w:color="auto"/>
        <w:left w:val="none" w:sz="0" w:space="0" w:color="auto"/>
        <w:bottom w:val="none" w:sz="0" w:space="0" w:color="auto"/>
        <w:right w:val="none" w:sz="0" w:space="0" w:color="auto"/>
      </w:divBdr>
    </w:div>
    <w:div w:id="1154108994">
      <w:bodyDiv w:val="1"/>
      <w:marLeft w:val="0"/>
      <w:marRight w:val="0"/>
      <w:marTop w:val="0"/>
      <w:marBottom w:val="0"/>
      <w:divBdr>
        <w:top w:val="none" w:sz="0" w:space="0" w:color="auto"/>
        <w:left w:val="none" w:sz="0" w:space="0" w:color="auto"/>
        <w:bottom w:val="none" w:sz="0" w:space="0" w:color="auto"/>
        <w:right w:val="none" w:sz="0" w:space="0" w:color="auto"/>
      </w:divBdr>
    </w:div>
    <w:div w:id="1349331181">
      <w:bodyDiv w:val="1"/>
      <w:marLeft w:val="0"/>
      <w:marRight w:val="0"/>
      <w:marTop w:val="0"/>
      <w:marBottom w:val="0"/>
      <w:divBdr>
        <w:top w:val="none" w:sz="0" w:space="0" w:color="auto"/>
        <w:left w:val="none" w:sz="0" w:space="0" w:color="auto"/>
        <w:bottom w:val="none" w:sz="0" w:space="0" w:color="auto"/>
        <w:right w:val="none" w:sz="0" w:space="0" w:color="auto"/>
      </w:divBdr>
    </w:div>
    <w:div w:id="1412586112">
      <w:bodyDiv w:val="1"/>
      <w:marLeft w:val="0"/>
      <w:marRight w:val="0"/>
      <w:marTop w:val="0"/>
      <w:marBottom w:val="0"/>
      <w:divBdr>
        <w:top w:val="none" w:sz="0" w:space="0" w:color="auto"/>
        <w:left w:val="none" w:sz="0" w:space="0" w:color="auto"/>
        <w:bottom w:val="none" w:sz="0" w:space="0" w:color="auto"/>
        <w:right w:val="none" w:sz="0" w:space="0" w:color="auto"/>
      </w:divBdr>
      <w:divsChild>
        <w:div w:id="95905253">
          <w:marLeft w:val="0"/>
          <w:marRight w:val="0"/>
          <w:marTop w:val="0"/>
          <w:marBottom w:val="375"/>
          <w:divBdr>
            <w:top w:val="none" w:sz="0" w:space="0" w:color="auto"/>
            <w:left w:val="none" w:sz="0" w:space="0" w:color="auto"/>
            <w:bottom w:val="none" w:sz="0" w:space="0" w:color="auto"/>
            <w:right w:val="none" w:sz="0" w:space="0" w:color="auto"/>
          </w:divBdr>
        </w:div>
      </w:divsChild>
    </w:div>
    <w:div w:id="1508594984">
      <w:bodyDiv w:val="1"/>
      <w:marLeft w:val="0"/>
      <w:marRight w:val="0"/>
      <w:marTop w:val="0"/>
      <w:marBottom w:val="0"/>
      <w:divBdr>
        <w:top w:val="none" w:sz="0" w:space="0" w:color="auto"/>
        <w:left w:val="none" w:sz="0" w:space="0" w:color="auto"/>
        <w:bottom w:val="none" w:sz="0" w:space="0" w:color="auto"/>
        <w:right w:val="none" w:sz="0" w:space="0" w:color="auto"/>
      </w:divBdr>
    </w:div>
    <w:div w:id="1614287743">
      <w:bodyDiv w:val="1"/>
      <w:marLeft w:val="0"/>
      <w:marRight w:val="0"/>
      <w:marTop w:val="0"/>
      <w:marBottom w:val="0"/>
      <w:divBdr>
        <w:top w:val="none" w:sz="0" w:space="0" w:color="auto"/>
        <w:left w:val="none" w:sz="0" w:space="0" w:color="auto"/>
        <w:bottom w:val="none" w:sz="0" w:space="0" w:color="auto"/>
        <w:right w:val="none" w:sz="0" w:space="0" w:color="auto"/>
      </w:divBdr>
    </w:div>
    <w:div w:id="1646667093">
      <w:bodyDiv w:val="1"/>
      <w:marLeft w:val="0"/>
      <w:marRight w:val="0"/>
      <w:marTop w:val="0"/>
      <w:marBottom w:val="0"/>
      <w:divBdr>
        <w:top w:val="none" w:sz="0" w:space="0" w:color="auto"/>
        <w:left w:val="none" w:sz="0" w:space="0" w:color="auto"/>
        <w:bottom w:val="none" w:sz="0" w:space="0" w:color="auto"/>
        <w:right w:val="none" w:sz="0" w:space="0" w:color="auto"/>
      </w:divBdr>
    </w:div>
    <w:div w:id="1713577492">
      <w:bodyDiv w:val="1"/>
      <w:marLeft w:val="0"/>
      <w:marRight w:val="0"/>
      <w:marTop w:val="0"/>
      <w:marBottom w:val="0"/>
      <w:divBdr>
        <w:top w:val="none" w:sz="0" w:space="0" w:color="auto"/>
        <w:left w:val="none" w:sz="0" w:space="0" w:color="auto"/>
        <w:bottom w:val="none" w:sz="0" w:space="0" w:color="auto"/>
        <w:right w:val="none" w:sz="0" w:space="0" w:color="auto"/>
      </w:divBdr>
    </w:div>
    <w:div w:id="1800488291">
      <w:bodyDiv w:val="1"/>
      <w:marLeft w:val="0"/>
      <w:marRight w:val="0"/>
      <w:marTop w:val="0"/>
      <w:marBottom w:val="0"/>
      <w:divBdr>
        <w:top w:val="none" w:sz="0" w:space="0" w:color="auto"/>
        <w:left w:val="none" w:sz="0" w:space="0" w:color="auto"/>
        <w:bottom w:val="none" w:sz="0" w:space="0" w:color="auto"/>
        <w:right w:val="none" w:sz="0" w:space="0" w:color="auto"/>
      </w:divBdr>
    </w:div>
    <w:div w:id="2042709061">
      <w:bodyDiv w:val="1"/>
      <w:marLeft w:val="0"/>
      <w:marRight w:val="0"/>
      <w:marTop w:val="0"/>
      <w:marBottom w:val="0"/>
      <w:divBdr>
        <w:top w:val="none" w:sz="0" w:space="0" w:color="auto"/>
        <w:left w:val="none" w:sz="0" w:space="0" w:color="auto"/>
        <w:bottom w:val="none" w:sz="0" w:space="0" w:color="auto"/>
        <w:right w:val="none" w:sz="0" w:space="0" w:color="auto"/>
      </w:divBdr>
    </w:div>
    <w:div w:id="2105765753">
      <w:bodyDiv w:val="1"/>
      <w:marLeft w:val="0"/>
      <w:marRight w:val="0"/>
      <w:marTop w:val="0"/>
      <w:marBottom w:val="0"/>
      <w:divBdr>
        <w:top w:val="none" w:sz="0" w:space="0" w:color="auto"/>
        <w:left w:val="none" w:sz="0" w:space="0" w:color="auto"/>
        <w:bottom w:val="none" w:sz="0" w:space="0" w:color="auto"/>
        <w:right w:val="none" w:sz="0" w:space="0" w:color="auto"/>
      </w:divBdr>
    </w:div>
    <w:div w:id="211262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png"/><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png"/><Relationship Id="rId10" Type="http://schemas.openxmlformats.org/officeDocument/2006/relationships/image" Target="media/image6.g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Pages>
  <Words>4682</Words>
  <Characters>26691</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2023-01-01T15:38:00Z</dcterms:created>
  <dcterms:modified xsi:type="dcterms:W3CDTF">2023-04-25T17:11:00Z</dcterms:modified>
</cp:coreProperties>
</file>