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22"/>
        <w:gridCol w:w="2977"/>
        <w:gridCol w:w="1842"/>
        <w:gridCol w:w="822"/>
      </w:tblGrid>
      <w:tr w:rsidR="009C074A" w:rsidRPr="00235505" w:rsidTr="00FC1D2C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Вид заняття/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роботи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Зміст контрольного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Критерії оцінювання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та термін виконання*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Усього балів</w:t>
            </w:r>
          </w:p>
        </w:tc>
      </w:tr>
      <w:tr w:rsidR="009C074A" w:rsidRPr="00235505" w:rsidTr="00FC1D2C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i/>
                <w:kern w:val="2"/>
                <w:sz w:val="16"/>
                <w:szCs w:val="16"/>
                <w:lang w:val="uk-UA" w:eastAsia="zh-CN" w:bidi="hi-IN"/>
              </w:rPr>
              <w:t>5</w:t>
            </w:r>
          </w:p>
        </w:tc>
      </w:tr>
      <w:tr w:rsidR="009C074A" w:rsidRPr="00235505" w:rsidTr="00FC1D2C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t>Поточний контроль</w:t>
            </w:r>
          </w:p>
        </w:tc>
      </w:tr>
      <w:tr w:rsidR="009C074A" w:rsidRPr="00235505" w:rsidTr="00FC1D2C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Практичні: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1) Підготувати ілюстрований кейс / «маршрутизатор» щодо історії риторики та 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спічрайтингу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 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2) Прочитати текст про Демосфена та прокоментувати його підготовку до промов.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3) Складіть власний маніфест сучасного спічрайтера / красномовця.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4) Розробити концепцію соціальної реклами про риторику / 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спічрайтинг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Питання для підготовки: Коротка історія розвитку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риторика, ораторське мистецтво: комунікативна єдність. Сутність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етно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-історико-культурологічної теорії риторики. Риторичний ідеал у різні історичні епохи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Передбачає надання повних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відповідей і доповнень;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спонукає здобувачів до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систематичної самостійної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роботи при підготовці до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поточних занять; активізує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абстрактне мислення із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застосуванням методу</w:t>
            </w:r>
          </w:p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аналізу та синтезу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Семінарське заняття 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оцінюється комплексно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 у 5 балів: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100% від максимального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балу) – 3-5 балів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(зараховано).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 xml:space="preserve">У процесі </w:t>
            </w: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формуванн</w:t>
            </w:r>
            <w:r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я</w:t>
            </w: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 xml:space="preserve"> шкали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t>5</w:t>
            </w:r>
          </w:p>
        </w:tc>
      </w:tr>
      <w:tr w:rsidR="009C074A" w:rsidRPr="00235505" w:rsidTr="00FC1D2C">
        <w:trPr>
          <w:trHeight w:val="23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К</w:t>
            </w: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омплексні</w:t>
            </w:r>
            <w:r w:rsidRPr="00235505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 xml:space="preserve">: 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Теоретичне завдання – 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Ознайомитися з сучасною типологією публічного мовлення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Практичне завдання – 1) підготувати доповідь на одну із запропонованих викладачем тем.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2) Зібрати портфоліо різних типів промов.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3) Самостійно написати один з виступів типологічного </w:t>
            </w: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кластеру промов за сферою розповсюдження.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4) Самостійно написати один з виступів типологічного кластеру промов за функціональним призначенням.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Питання для підготовки: Комунікативна природа публічного виступу. Жанри, формати публічного мовлення. Типологія промов за сферою розповсюдження: ділова, політична, мітингова, судова, академічна, дипломатична, церковно-богословська (гомілетика), військова. Типологія промов за функціональним призначенням: розважальна, мобілізаційна,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переконуюча, інформаційна, звинувачувальна, привітальна.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Передбачає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розвиток аналітичних здібностей здобувачів, напрацювання умінь здійснювати критичний аналіз різножанрових текстів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;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спонукає здобувачів до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систематичної 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самостійної</w:t>
            </w:r>
          </w:p>
          <w:p w:rsidR="009C074A" w:rsidRPr="00BA2754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роботи при підготовці до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поточних занять; активізує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абстрактне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й креативне </w:t>
            </w:r>
            <w:r w:rsidRPr="00BA2754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мислення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а також </w:t>
            </w:r>
          </w:p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здатність до ефективної комунікації.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комплексно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максимально у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балів: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100% від максимального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балу) –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3-5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балів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(зараховано).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 xml:space="preserve">У процесі </w:t>
            </w: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формуванн</w:t>
            </w:r>
            <w:r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я</w:t>
            </w: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 xml:space="preserve"> шкали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5</w:t>
            </w:r>
          </w:p>
        </w:tc>
      </w:tr>
      <w:tr w:rsidR="009C074A" w:rsidRPr="00235505" w:rsidTr="00FC1D2C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комплексні</w:t>
            </w: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: </w:t>
            </w: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Теоретичне завдання – системно вивчити композицію промови, її класичні схеми та новації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Практичне завдання –1) підготовка до ділової гри. 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2) Напишіть невеликий текст на тему «Правосуддя в нашому житті» за поданою схемою: 1. Перша підтема (виклад, аргументація): перша мікротема; друга мікротема. 2. Друга підтема (виклад, аргументація): – мікротема.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3) Складіть промову на тему «Сучасний шлюб та його перспективи» за поданими тезами: любов як основа шлюбу; церковний та світський погляд на шлюб; проблема розлучення: причини та моральні аспекти; зміна ставлення до вільного кохання в </w:t>
            </w: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lastRenderedPageBreak/>
              <w:t>сучасному суспільстві; нетрадиційні форми шлюбних відносин та ставлення до них суспільств.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4) Аудиторія поділяється на 5 груп – «Вступ», «Основна частина», «Висновки», «Способи інтеграції тексту», «Доповнення». Усі вони уважно слухають текст, а після його читання кожна група переказує свою частину (група «Способи інтеграції тексту» називає спосіб, а «Доповнення» – поправляють або доповнюють).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5) Напишіть автохарактеристику, вдавшись до прийомів опису та міркування. Який прийом доцільніше використати для опису зовнішності, а який – для характеристики рис характеру?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Питання для підготовки: Універсальна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тричастинна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композиція: вступ, основна частина, закінчення. Вступна частина та її функціонал: “реклама”, “вербування союзників”, “презентація теми”. Методи організації основної частини: хронологічний, дедуктивний, індуктивний, аналогійний, концентричний. Композиційні конструкції викладу основної теми: розповідь, опис, пояснення, аргументація, спростування. Закінчення: формулювання висновків, резюме,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емоційно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-експресивні конструкції. Основні закони диспозиції. Типи фіналу: елегантний, доцільний, підсумковий.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E38C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Передбачає розвиток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комунікативних, креативних й </w:t>
            </w: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аналітичних здібностей здобувачів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за яких простежується динаміка студента </w:t>
            </w: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застосовувати  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набуті знання і вміння для прийняття рішень у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нестандартних ситуаціях, </w:t>
            </w:r>
          </w:p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аргумент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увати 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відповіді, розкрива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ти особистісний потенціал промовця / спічрайтера </w:t>
            </w:r>
            <w:r w:rsidRPr="002E38C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виявля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ти творчий підхід до набутих знань і зібраної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фактологічної бази.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 у 10 балів: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</w:t>
            </w: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100% від максимального</w:t>
            </w:r>
          </w:p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балу) – 6-10 балів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10</w:t>
            </w:r>
          </w:p>
        </w:tc>
      </w:tr>
      <w:tr w:rsidR="009C074A" w:rsidRPr="00235505" w:rsidTr="00FC1D2C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К</w:t>
            </w:r>
            <w:r w:rsidRPr="00235505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омплексні: опитування й обговорення ключових моментів теми; тестування на платформі MOODLE</w:t>
            </w: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 xml:space="preserve">Практичне завдання – 1) Опишіть нинішню політичну ситуацію в Україні, виклавши власні 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суб’єктивні емоції. Потім перепишіть цей текст, користуючись самими лише логічними доказами. Порівняйте обидва тексти. Який текст – перший чи другий – дався вам легше? Спробуйте сполучити обидва тексти в новий варіант.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2) Вправа-імпровізація (щонайменше п’ять осіб: «позивач», «підсудний», «прокурор», «адвокат», «свідок» тощо), спробуйте інсценувати розгляд справи в суді з відповідними промовцями.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3) Напишіть коротку оповідь, скориставшись малюнками. Як треба їх розташувати, аби оповідь розпочиналася з кульмінації?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Питання для підготовки: Логічні закони аргументації: тотожності, суперечності, виключення третього, достатньої підстави. Логічні помилки. Аналогійна аргументація. Послідовність аргументації. Схеми маркування: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конвернгенція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зчеплення, градація,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фальшочікування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. Способи розташування аргументації та їх класифікація.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Тестові питання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оцінюються: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правильно/неправильно.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Кількість рівнозначних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питань – 10.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Застосовується шкала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переведення кількості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правильних відповідей у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бали з діапазону 0-5: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0-2 – 0 балів (не зараховано);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(60% - 100% від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максимального балу):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3-10 – 3, 4, 5 балів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(зараховано), а саме: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3-5 – 3 бали;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6-8 – 4 бали;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9-10 – 5 балів.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Тест розміщено в профілі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даної дисципліни у СЕЗН</w:t>
            </w:r>
          </w:p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ЗНУ </w:t>
            </w:r>
            <w:proofErr w:type="spellStart"/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Moodle</w:t>
            </w:r>
            <w:proofErr w:type="spellEnd"/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Передбачає розвиток комунікативних, креативних й аналітичних здібностей здобувачів, за яких простежується динаміка студента  застосовувати  набуті знання і вміння для прийняття рішень у нестандартних ситуаціях, 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аргументувати відповіді, розкривати особистісний потенціал промовця / спічрайтера виявляти творчий підхід до набутих знань і зібраної фактологічної бази.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максимально у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</w:t>
            </w: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балів: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балу) – 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3-5</w:t>
            </w: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балів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10</w:t>
            </w:r>
          </w:p>
        </w:tc>
      </w:tr>
      <w:tr w:rsidR="009C074A" w:rsidRPr="00235505" w:rsidTr="00FC1D2C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К</w:t>
            </w:r>
            <w:r w:rsidRPr="00235505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омплексні: тестування; опитування й обговорення ключових моментів теми</w:t>
            </w: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Практичне завдання – 1) Проаналізувати (письмово) міміку, жести, інтонацію, зовнішній вигляд політика, актора, журналіста, однокурсника, викладача, ін. (за вибором).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lastRenderedPageBreak/>
              <w:t>2) Назвати людські почуття і переживання (10-15), які впливають на голос, інтонацію.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3) Придумати фрази, в яких вигук «Ой» передає: а) здивування, захоплення; б) страх, переляк; в) біль; г) погрозу; ґ) бажання; д) сумнів.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4) Риторична ситуація: уявіть, що ви вперше виступаєте перед дитячою аудиторією. Ви старанно підготувалися, написали детальний конспект і читаєте його, як лекцію. Але клас не слухає; посилюється гамір. Діти повністю втрачають інтерес. Що краще зробити – навести порядок і продовжувати читати свій чудовий конспект чи спробувати перейти до іншого прийому? Якого саме? Поясніть свій вибір.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Питання для підготовки: Художні та звукові техніки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Інтимізація промови. До комунікативних потреб авдиторії. Технології НЛП у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спійчрайтингу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Мовленнєвий театр та імпровізація. Мовленнєва поведінка комунікатора: морально-етичний вибір.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Маніпулятивна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актуалізаторська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поведінка комунікатора. Поняття «харизма».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Тестові питання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оцінюються: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правильно/неправильно.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Кількість рівнозначних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питань – 10.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Застосовується шкала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переведення </w:t>
            </w: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кількості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правильних відповідей у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бали з діапазону 0-5: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0-2 – 0 балів (не зараховано);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(60% - 100% від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максимального балу):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3-10 – 3, 4, 5 балів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(зараховано), а саме: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3-5 – 3 бали;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6-8 – 4 бали;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9-10 – 5 балів.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Тест розміщено в профілі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даної дисципліни у СЕЗН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 xml:space="preserve">ЗНУ </w:t>
            </w:r>
            <w:proofErr w:type="spellStart"/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Moodle</w:t>
            </w:r>
            <w:proofErr w:type="spellEnd"/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Передбачає надання повних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відповідей і доповнень;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спонукає здобувачів до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систематичної самостійної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роботи при підготовці до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поточних занять; активізує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абстрактне мислення із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застосуванням методу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аналізу та синтезу. 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 у 5 балів: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балу) – 3-5 балів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lastRenderedPageBreak/>
              <w:t>систематична робота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10</w:t>
            </w:r>
          </w:p>
        </w:tc>
      </w:tr>
      <w:tr w:rsidR="009C074A" w:rsidRPr="00235505" w:rsidTr="00FC1D2C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Семінарське заняття №6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Комплексні: опитування й обговорення ключових моментів теми</w:t>
            </w: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Аналіз текстів промов.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 xml:space="preserve">2) Виконати тести з 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психориторики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, яка передбачає психологічну діагностику особистості з метою виявлення комунікабельності, самооцінки, риторичних здібностей. Психодіагностика проводиться шляхом тестування.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Питання для підготовки: Формула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мисленнєво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-мовленнєвої діяльності виступу та механізм комунікативного процесу. Винайдення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inventio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“винайти, що сказати”). Розташування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dispositio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- “розташувати винайдене”) – етап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оранжування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компонентів матеріалу. Прикрашення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elocutio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“прикрасити словом”). Репетиція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aktio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- “дія”, “рух”): інтонаційна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виразністі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мовлення, зовнішній вигляд оратора, поведінка перед аудиторією. Запам’ятовування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memoria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): мнемотехніка – прийоми запам’ятовування матеріалу.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Передбачає надання повних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відповідей і доповнень;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спонукає здобувачів до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систематичної самостійної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роботи при підготовці до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поточних занять; активізує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абстрактне мислення із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застосуванням методу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аналізу та синтезу. 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 у 5 балів: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балу) – 3-5 балів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(зараховано).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8E0666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8E0666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t>5</w:t>
            </w:r>
          </w:p>
        </w:tc>
      </w:tr>
      <w:tr w:rsidR="009C074A" w:rsidRPr="00235505" w:rsidTr="00FC1D2C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№7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-8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Комплексні: опитування й обговорення ключових моментів теми</w:t>
            </w:r>
            <w:r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 xml:space="preserve">Практичне завдання з риторики: 1) Виконати дихальні вправи. Запам’ятайте: суто механічне тренування дикції, голосу або дихання потрібного ефекту не дадуть, оскільки слів або звуків поза думкою, практичною спрямованістю не існує. Тому всі звуки у запропонованих нижче </w:t>
            </w: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lastRenderedPageBreak/>
              <w:t xml:space="preserve">вправах необхідно осмислити, тобто, промовляючи їх, уявити цей звук конкретно – хто його промовляє або що 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шумить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, дзвенить тощо. Наприклад: 1) робота різних механізмів: відбійного молотка, бетонозмішувача; 2) політ бджоли, мухи, комара, великого жука; 3) “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гуління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” немовляти; 4) гудіння теплохода; 5) дзвони.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2) Виконати вправи на артикуляцію.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3) Прочитати скоромовки.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4) Визначити темп мовлення.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5) Виконати вправи на інтонацію.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spacing w:val="-4"/>
                <w:kern w:val="2"/>
                <w:sz w:val="20"/>
                <w:szCs w:val="20"/>
                <w:lang w:val="uk-UA" w:eastAsia="zh-CN" w:bidi="hi-IN"/>
              </w:rPr>
              <w:t>6) Проаналізувати (письмово) міміку, жести, інтонацію, зовнішній вигляд політика, актора, журналіста, однокурсника, викладача, ін. (за вибором).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Питання для підготовки: Розробка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стратегіі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виступу з орієнтацією на аудиторію. Використання у промові тез, за якими у промовця і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аудиторіі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існує спільна думка.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Прийоми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активізаціі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уваги слухачів. Кінетика промовця. Міміка. Інтонація і мовчання – реалізація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індексальноі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системи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тілесноі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мови. Типологія мовчання (класифікація Е.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Естерберг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). Риторичні резерви мовчання.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Візуальнии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̆ контакт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його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риторичне значення. Зв’язок візуального контакту з типом культури. Етика публічного виступу.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Посткомунікативний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етап публічного виступу. Аналітична робота спічрайтера над помилками промовця. Вимірювання ефективності публічних виступів.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Передбачає надання повних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відповідей і доповнень;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спонукає здобувачів до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систематичної самостійної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роботи при підготовці до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поточних занять; активізує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абстрактне мислення із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>застосуванням методу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аналізу та синтезу. 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максимально у 5 балів: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балу) – 3-5 балів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(зараховано).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5</w:t>
            </w:r>
          </w:p>
        </w:tc>
      </w:tr>
      <w:tr w:rsidR="009C074A" w:rsidRPr="00235505" w:rsidTr="00FC1D2C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Семінарське заняття №</w:t>
            </w:r>
            <w:r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Default="009C074A" w:rsidP="00FC1D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Комплексні: </w:t>
            </w: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опитування й обговорення ключових моментів теми.</w:t>
            </w:r>
          </w:p>
          <w:p w:rsidR="009C074A" w:rsidRPr="00CB4F6B" w:rsidRDefault="009C074A" w:rsidP="00FC1D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Практичне завдання – 1)</w:t>
            </w:r>
            <w:r w:rsidRPr="00CB4F6B">
              <w:rPr>
                <w:sz w:val="20"/>
                <w:szCs w:val="20"/>
              </w:rPr>
              <w:t xml:space="preserve"> </w:t>
            </w: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proofErr w:type="spellStart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дійсніть</w:t>
            </w:r>
            <w:proofErr w:type="spellEnd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лінгвістичний аналіз однієї з промов Президента України Володимира Зеленського.</w:t>
            </w:r>
          </w:p>
          <w:p w:rsidR="009C074A" w:rsidRPr="00CB4F6B" w:rsidRDefault="009C074A" w:rsidP="00FC1D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2) Складіть портфоліо зразків президентської риторики – програмної промови, дебатів, інавгураційної промови, послання, кризових промов.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3) Напишіть промову для одного з лідерів української політики, орієнтуючись на такі параметри політичного </w:t>
            </w:r>
            <w:proofErr w:type="spellStart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спічрайтингу</w:t>
            </w:r>
            <w:proofErr w:type="spellEnd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: лаконічність (промова має лунати не більше 10 хвилин), контакт з аудиторією (створення довіри), гумор, зв</w:t>
            </w:r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’</w:t>
            </w:r>
            <w:proofErr w:type="spellStart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язок</w:t>
            </w:r>
            <w:proofErr w:type="spellEnd"/>
            <w:r w:rsidRPr="00CB4F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мовлення: вступ (10-15 % часу), основна частина (70-80 % часу), заключна частина (10-15% часу).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9A28EF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Питання для підготовки: Політичне красномовство та </w:t>
            </w:r>
            <w:proofErr w:type="spellStart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його</w:t>
            </w:r>
            <w:proofErr w:type="spellEnd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жанрові різновиди. Парламентська, мітингова та воєнна промови як жанри політичного красномовства. Президентська риторика. Жанри президентської риторики: програмна промова, дебати, інавгураційна промова, дебати, послання, кризові промови. Формати позиціювання політика: </w:t>
            </w:r>
            <w:proofErr w:type="spellStart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медіарилейшнз</w:t>
            </w:r>
            <w:proofErr w:type="spellEnd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(</w:t>
            </w:r>
            <w:proofErr w:type="spellStart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пресконференції</w:t>
            </w:r>
            <w:proofErr w:type="spellEnd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, круглий стіл, брифінг).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Передбачає розвиток комунікативних, креативних й аналітичних здібностей здобувачів, за яких простежується динаміка студента  застосовувати  набуті знання і вміння для прийняття рішень у нестандартних ситуаціях, 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аргументувати відповіді, розкривати особистісний потенціал промовця / спічрайтера виявляти творчий підхід до набутих знань і зібраної фактологічної бази.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максимально у 10 балів: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lastRenderedPageBreak/>
              <w:t>− незадовільний рівень –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балу) – </w:t>
            </w:r>
            <w:r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3-5</w:t>
            </w: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балів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бальної оцінки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здобувачів протягом</w:t>
            </w:r>
          </w:p>
          <w:p w:rsidR="009C074A" w:rsidRPr="009A28EF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семестру</w:t>
            </w: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lastRenderedPageBreak/>
              <w:t>5</w:t>
            </w:r>
          </w:p>
        </w:tc>
      </w:tr>
      <w:tr w:rsidR="009C074A" w:rsidRPr="00235505" w:rsidTr="00FC1D2C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9A28EF" w:rsidRDefault="009C074A" w:rsidP="00FC1D2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</w:pPr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Семінарське заняття №</w:t>
            </w:r>
            <w:r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 xml:space="preserve">Комплексні: </w:t>
            </w:r>
            <w:r w:rsidRPr="00FA2617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опитування й обговорення ключових моментів теми.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Практичне завдання – 1) Схарактеризуйте імідж одного з представників / представниць українського політикуму. Визначте параметри його іміджу за комунікаційними  маркерами: персона, персоніфікація, образ, імідж.</w:t>
            </w:r>
          </w:p>
          <w:p w:rsidR="009C074A" w:rsidRPr="00CB4F6B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2) «Намалюйте» мовленнєвий портрет одного з представників / представниць українського політикуму, визначивши їх інтонаційні «фішки», слова-паразити, логічність, емоційність мовлення, міміку, кінетику.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CB4F6B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eastAsia="zh-CN" w:bidi="hi-IN"/>
              </w:rPr>
              <w:t>3) Напишіть біографію для уявного політика, який претендує на виборну посаду, застосовуючи технологію</w:t>
            </w:r>
            <w:r w:rsidRPr="00CB4F6B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 </w:t>
            </w:r>
            <w:proofErr w:type="spellStart"/>
            <w:r w:rsidRPr="00CB4F6B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міфодизайну</w:t>
            </w:r>
            <w:proofErr w:type="spellEnd"/>
            <w:r w:rsidRPr="00CB4F6B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9A28EF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Питання для підготовки: Поняття Я-бренд / віртуальний Я-бренд та харизма. Політичний красномовець: персона, персоніфікація, образ, імідж. Комунікативні технології створення політичної програми, робота з біографією політика. Технології </w:t>
            </w:r>
            <w:proofErr w:type="spellStart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міфодизайну</w:t>
            </w:r>
            <w:proofErr w:type="spellEnd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. Комунікативне </w:t>
            </w:r>
            <w:proofErr w:type="spellStart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іміджування</w:t>
            </w:r>
            <w:proofErr w:type="spellEnd"/>
            <w:r w:rsidRPr="009A28EF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політика.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Передбачає розвиток комунікативних, креативних й аналітичних здібностей здобувачів, за яких простежується динаміка студента  застосовувати  набуті знання і вміння для прийняття рішень у нестандартних ситуаціях, 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аргументувати відповіді, розкривати особистісний потенціал промовця / спічрайтера виявляти творчий підхід до набутих знань і зібраної фактологічної бази.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Семінарське заняття оцінюється комплексно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максимально у </w:t>
            </w:r>
            <w:r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5</w:t>
            </w: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балів: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− незадовільний рівень –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0 балів (не зараховано);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− достатній рівень (60%-100% від максимального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балу) – </w:t>
            </w:r>
            <w:r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>3-5</w:t>
            </w: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балів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У процесі формування шкали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lastRenderedPageBreak/>
              <w:t>бальної оцінки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стимулюється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систематична робота</w:t>
            </w:r>
          </w:p>
          <w:p w:rsidR="009C074A" w:rsidRPr="006019A0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здобувачів</w:t>
            </w:r>
            <w:r w:rsidRPr="006019A0"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  <w:t xml:space="preserve"> </w:t>
            </w: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протягом</w:t>
            </w:r>
          </w:p>
          <w:p w:rsidR="009C074A" w:rsidRPr="009A28EF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2"/>
                <w:sz w:val="20"/>
                <w:szCs w:val="20"/>
                <w:lang w:val="uk-UA" w:bidi="hi-IN"/>
              </w:rPr>
            </w:pPr>
            <w:r w:rsidRPr="006019A0">
              <w:rPr>
                <w:rFonts w:ascii="Times New Roman" w:eastAsia="Droid Sans Fallback" w:hAnsi="Times New Roman" w:cs="Times New Roman"/>
                <w:bCs/>
                <w:i/>
                <w:iCs/>
                <w:kern w:val="2"/>
                <w:sz w:val="20"/>
                <w:szCs w:val="20"/>
                <w:lang w:val="uk-UA" w:bidi="hi-IN"/>
              </w:rPr>
              <w:t>семестру.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lastRenderedPageBreak/>
              <w:t>5</w:t>
            </w:r>
          </w:p>
        </w:tc>
      </w:tr>
      <w:tr w:rsidR="009C074A" w:rsidRPr="00235505" w:rsidTr="00FC1D2C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7672F9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Усього за поточний </w:t>
            </w: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контроль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60</w:t>
            </w:r>
          </w:p>
        </w:tc>
      </w:tr>
      <w:tr w:rsidR="009C074A" w:rsidRPr="00235505" w:rsidTr="00FC1D2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Підсумковий контроль</w:t>
            </w:r>
          </w:p>
        </w:tc>
      </w:tr>
      <w:tr w:rsidR="009C074A" w:rsidRPr="00235505" w:rsidTr="00FC1D2C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74A" w:rsidRPr="00235505" w:rsidRDefault="009C074A" w:rsidP="00FC1D2C">
            <w:pPr>
              <w:widowControl w:val="0"/>
              <w:suppressAutoHyphens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</w:p>
          <w:p w:rsidR="009C074A" w:rsidRPr="00235505" w:rsidRDefault="009C074A" w:rsidP="00FC1D2C">
            <w:pPr>
              <w:widowControl w:val="0"/>
              <w:suppressAutoHyphens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Залік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Теоретичне завдання: містить 2 запитання, що охоплюють знання у галузі теорії комунікації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Питання для підготовки: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Питання для підготовки: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Коротка історія розвитку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риторика, ораторське мистецтво: комунікативна єдність.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Сутність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етно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-історико-культурологічної теорії риторики.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Риторичний ідеал у різні історичні епохи.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Сучасна типологія публічного мовлення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Комунікативна природа публічного виступу.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Жанри, формати публічного мовлення.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Типологія промов за сферою розповсюдження: ділова, політична, мітингова, судова, академічна, дипломатична, церковно-богословська (гомілетика), військова.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Типологія промов за функціональним призначенням: розважальна, мобілізаційна, переконуюча, інформаційна, звинувачувальна, привітальна.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Композиція промови: класичні схеми та новації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Універсальна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тричастинна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композиція: вступ, основна частина, закінчення.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Вступна частина та її функціонал: “реклама”, “вербування союзників”, “презентація теми”.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Методи організації основної частини: хронологічний, дедуктивний, індуктивний, аналогійний, концентричний.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Композиційні конструкції викладу основної теми: розповідь, опис, пояснення, аргументація,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спростування.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Закінчення: формулювання висновків, резюме,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емоційно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-експресивні конструкції.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Основні закони диспозиції. Типи фіналу: елегантний, доцільний, підсумковий.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Комунікаційні техніки впливу на авдиторію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Аргументаційні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техніки впливу публічних промов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Логічні закони аргументації: тотожності, суперечності, виключення третього, достатньої підстави.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Логічні помилки.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Аналогійна аргументація.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Послідовність аргументації.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Схеми маркування: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конвернгенція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зчеплення, градація,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фальшочікування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Способи розташування аргументації та їх класифікація.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Маніпулятивні техніки впливу публічних промов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Художні та звукові техніки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Інтимізація промови до комунікативних потреб авдиторії.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Технології НЛП у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спійчрайтингу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Мовленнєвий театр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аімпровізація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Мовленнєва поведінка комунікатора: морально-етичний вибір.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Маніпулятивна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актуалізаторська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поведінка комунікатора.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Поняття «харизма».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Методика / технології підготовки промови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Етапи підготовки публічного виступу.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Преспічрайтинг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Формула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мисленнєво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-мовленнєвої діяльності виступу та механізм комунікативного процесу.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Винайдення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inventio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“винайти, що сказати”).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Розташування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dispositio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- “розташувати винайдене”) – етап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оранжування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компонентів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матеріалу.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Прикрашення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elocutio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“прикрасити словом”).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Репетиція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aktio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- “дія”, “рух”): інтонаційна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виразністі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мовлення, зовнішній вигляд оратора, поведінка перед аудиторією.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Запам’ятовування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memoria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): мнемотехніка – прийоми запам’ятовування матеріалу.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Комунікативний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посткомунікативний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етапи публічного виступу.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Професійні компетенції спічрайтера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Розробка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стратегіі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виступу з орієнтацією на аудиторію.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Використання у промові тез, за якими у промовця і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аудиторіі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існує спільна думка.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Прийоми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активізаціі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уваги слухачів.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Кінетика промовця. Міміка.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Інтонація і мовчання – реалізація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індексальноі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системи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тілесноі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̈ мови.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Типологія мовчання (класифікація Е.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Естерберг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).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Риторичні резерви мовчання.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Візуальнии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̆ контакт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його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риторичне значення.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Зв’язок візуального контакту з типом культури.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Етика публічного виступу.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Посткомунікативний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етап публічного виступу.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Аналітична робота спічрайтера над помилками промовця.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Вимірювання ефективності публічних виступів.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Політичний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як дієва технологія впливу на маси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Жанри політичного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Політичне красномовство та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його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жанрові різновиди.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60.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Парламентська, мітингова та воєнна промови як жанри політичного 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lastRenderedPageBreak/>
              <w:t xml:space="preserve">красномовства.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61.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Президентська риторика.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62.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Жанри президентської риторики: програмна промова, дебати, інавгураційна промова, дебати, послання, кризові промови.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63.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Формати позиціювання політика: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медіарилейшнз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(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пресконференції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круглий стіл, брифінг,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прессніданок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).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64.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Спічрайтинг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у розрізі політичного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іміджмейкінгу</w:t>
            </w:r>
            <w:proofErr w:type="spellEnd"/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65.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Поняття Я-бренд / віртуальний Я-бренд та харизма.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66.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Політичний красномовець: персона, персоніфікація, образ, імідж.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67.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Комунікативні технології створення політичної програми, робота з біографією політика. </w:t>
            </w:r>
          </w:p>
          <w:p w:rsidR="009C074A" w:rsidRPr="007672F9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68.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Технології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міфодизайну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69.</w:t>
            </w: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Комунікативне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іміджування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політика.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235505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lastRenderedPageBreak/>
              <w:t xml:space="preserve">Під час екзамену викладачка буде дотримуватися таких критеріїв оцінювання усної відповіді: демонстрування студентом знання теоретичних основ масових комунікацій; знань цілісність, систематичність, логічна послідовність викладу матеріалу; </w:t>
            </w:r>
          </w:p>
          <w:p w:rsidR="009C074A" w:rsidRPr="00235505" w:rsidRDefault="009C074A" w:rsidP="00FC1D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235505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повнота розкриття питання; уміння формулювати власне ставлення до проблеми, робити аргументовані висновки; опрацювання сучасних наукових інформаційних джерел.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t>20</w:t>
            </w:r>
          </w:p>
        </w:tc>
      </w:tr>
      <w:tr w:rsidR="009C074A" w:rsidRPr="00235505" w:rsidTr="00FC1D2C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4A" w:rsidRPr="00235505" w:rsidRDefault="009C074A" w:rsidP="00FC1D2C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Практичне завдання: </w:t>
            </w:r>
            <w:proofErr w:type="spellStart"/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проєктна</w:t>
            </w:r>
            <w:proofErr w:type="spellEnd"/>
            <w:r w:rsidRPr="00235505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 xml:space="preserve"> робота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Розробити повний план проведення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пресконференції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/ круглого столу / брифінгу / </w:t>
            </w:r>
            <w:proofErr w:type="spellStart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прессніданка</w:t>
            </w:r>
            <w:proofErr w:type="spellEnd"/>
            <w:r w:rsidRPr="007672F9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7672F9" w:rsidRDefault="009C074A" w:rsidP="00FC1D2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Максимальна кількість балів</w:t>
            </w:r>
            <w:r w:rsidRPr="007672F9"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/>
              </w:rPr>
              <w:t xml:space="preserve"> – </w:t>
            </w:r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20 здобувається студентами за умови дотримання алгоритму реалізації </w:t>
            </w:r>
            <w:proofErr w:type="spellStart"/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. Зниження загального балу відбувається за наявності концептуальних помилок задуму </w:t>
            </w:r>
            <w:proofErr w:type="spellStart"/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7672F9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, непрофесійного володіння українською мовою.</w:t>
            </w:r>
          </w:p>
          <w:p w:rsidR="009C074A" w:rsidRPr="007672F9" w:rsidRDefault="009C074A" w:rsidP="00FC1D2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672F9">
              <w:rPr>
                <w:rFonts w:ascii="Times New Roman" w:eastAsia="MS Mincho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 xml:space="preserve">Більш детальну інформацію та зразки </w:t>
            </w:r>
            <w:proofErr w:type="spellStart"/>
            <w:r w:rsidRPr="007672F9">
              <w:rPr>
                <w:rFonts w:ascii="Times New Roman" w:eastAsia="MS Mincho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 w:rsidRPr="007672F9">
              <w:rPr>
                <w:rFonts w:ascii="Times New Roman" w:eastAsia="MS Mincho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 xml:space="preserve"> попередніх років можна знайти за посиланням: https://moodle.znu.edu.ua/course/view.php?id=15859#section-1</w:t>
            </w:r>
          </w:p>
          <w:p w:rsidR="009C074A" w:rsidRPr="00235505" w:rsidRDefault="009C074A" w:rsidP="00FC1D2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Cs/>
                <w:color w:val="000000"/>
                <w:lang w:val="uk-UA"/>
              </w:rPr>
            </w:pP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  <w:t>20</w:t>
            </w:r>
          </w:p>
        </w:tc>
      </w:tr>
      <w:tr w:rsidR="009C074A" w:rsidRPr="00235505" w:rsidTr="00FC1D2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Усього за </w:t>
            </w:r>
          </w:p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 xml:space="preserve">підсумковий </w:t>
            </w: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lastRenderedPageBreak/>
              <w:t>контроль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4A" w:rsidRPr="00235505" w:rsidRDefault="009C074A" w:rsidP="00FC1D2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35505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val="uk-UA" w:eastAsia="zh-CN" w:bidi="hi-IN"/>
              </w:rPr>
              <w:t>40</w:t>
            </w:r>
          </w:p>
        </w:tc>
      </w:tr>
    </w:tbl>
    <w:p w:rsidR="009C074A" w:rsidRPr="00104B2D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</w:pPr>
      <w:r w:rsidRPr="00104B2D">
        <w:rPr>
          <w:rFonts w:ascii="Times New Roman" w:eastAsia="Droid Sans Fallback" w:hAnsi="Times New Roman" w:cs="Times New Roman"/>
          <w:b/>
          <w:i/>
          <w:iCs/>
          <w:kern w:val="2"/>
          <w:sz w:val="24"/>
          <w:szCs w:val="24"/>
          <w:lang w:val="uk-UA" w:eastAsia="zh-CN" w:bidi="hi-IN"/>
        </w:rPr>
        <w:t>*</w:t>
      </w:r>
      <w:r w:rsidRPr="00104B2D"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  <w:t>Засоби діагностики рівня досягнення результатів навчання дисципліни та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</w:pPr>
      <w:r w:rsidRPr="00104B2D"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  <w:t>критерії оцінювання контрольних заходів</w:t>
      </w:r>
    </w:p>
    <w:p w:rsidR="009C074A" w:rsidRPr="00104B2D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</w:pP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</w:pPr>
      <w:r w:rsidRPr="00104B2D">
        <w:rPr>
          <w:rFonts w:ascii="Times New Roman" w:eastAsia="Droid Sans Fallback" w:hAnsi="Times New Roman" w:cs="Times New Roman"/>
          <w:bCs/>
          <w:i/>
          <w:iCs/>
          <w:kern w:val="2"/>
          <w:sz w:val="28"/>
          <w:szCs w:val="28"/>
          <w:lang w:val="uk-UA" w:eastAsia="zh-CN" w:bidi="hi-IN"/>
        </w:rPr>
        <w:t>Тестування.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Поточне та підсумкове оцінювання теоретичних завдань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здійснюється у формі тестування з використанням платформи дистанційного навчання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СЕЗН ЗНУ </w:t>
      </w:r>
      <w:proofErr w:type="spellStart"/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Moodle</w:t>
      </w:r>
      <w:proofErr w:type="spellEnd"/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відповідно до календарного графіку поточних і підсумкового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контролів. Проходження тестів відбувається після ідентифікації здобувача через його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персональний аккаунт на сторінці дисципліни при увімкненому відео-режимі </w:t>
      </w:r>
      <w:proofErr w:type="spellStart"/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Zoom</w:t>
      </w:r>
      <w:proofErr w:type="spellEnd"/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-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конференції за умови дистанційної присутності викладача та передбачає обмежену у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часі відповідь на теоретичні питання: для поточних контролів (Тести 1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-2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) – до 20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хвилин, як правило, або під час лекційного заняття перед завершенням поточного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змістового модуля, або під час консультації за встановленим графіком; для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підсумкового (екзаменаційного) тесту – до 40 хвилин під час екзаменаційного</w:t>
      </w:r>
      <w:r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</w:t>
      </w:r>
      <w:r w:rsidRPr="00104B2D">
        <w:rPr>
          <w:rFonts w:ascii="Times New Roman" w:eastAsia="Droid Sans Fallback" w:hAnsi="Times New Roman" w:cs="Times New Roman"/>
          <w:bCs/>
          <w:kern w:val="2"/>
          <w:sz w:val="28"/>
          <w:szCs w:val="28"/>
          <w:lang w:val="uk-UA" w:eastAsia="zh-CN" w:bidi="hi-IN"/>
        </w:rPr>
        <w:t>контролю за складеним розкладом.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B2D">
        <w:rPr>
          <w:rFonts w:ascii="Times New Roman" w:hAnsi="Times New Roman" w:cs="Times New Roman"/>
          <w:i/>
          <w:iCs/>
          <w:sz w:val="28"/>
          <w:szCs w:val="28"/>
        </w:rPr>
        <w:t xml:space="preserve">Процедура </w:t>
      </w:r>
      <w:bookmarkStart w:id="0" w:name="_Hlk209099370"/>
      <w:proofErr w:type="spellStart"/>
      <w:r w:rsidRPr="00104B2D">
        <w:rPr>
          <w:rFonts w:ascii="Times New Roman" w:hAnsi="Times New Roman" w:cs="Times New Roman"/>
          <w:i/>
          <w:iCs/>
          <w:sz w:val="28"/>
          <w:szCs w:val="28"/>
        </w:rPr>
        <w:t>оцінювання</w:t>
      </w:r>
      <w:proofErr w:type="spellEnd"/>
      <w:r w:rsidRPr="00104B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B2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семінарських / </w:t>
      </w:r>
      <w:proofErr w:type="spellStart"/>
      <w:r w:rsidRPr="00104B2D">
        <w:rPr>
          <w:rFonts w:ascii="Times New Roman" w:hAnsi="Times New Roman" w:cs="Times New Roman"/>
          <w:i/>
          <w:iCs/>
          <w:sz w:val="28"/>
          <w:szCs w:val="28"/>
        </w:rPr>
        <w:t>практичних</w:t>
      </w:r>
      <w:proofErr w:type="spellEnd"/>
      <w:r w:rsidRPr="00104B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i/>
          <w:iCs/>
          <w:sz w:val="28"/>
          <w:szCs w:val="28"/>
        </w:rPr>
        <w:t>завдань</w:t>
      </w:r>
      <w:bookmarkEnd w:id="0"/>
      <w:proofErr w:type="spellEnd"/>
      <w:r w:rsidRPr="00104B2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04B2D">
        <w:rPr>
          <w:rFonts w:ascii="Times New Roman" w:hAnsi="Times New Roman" w:cs="Times New Roman"/>
          <w:sz w:val="28"/>
          <w:szCs w:val="28"/>
        </w:rPr>
        <w:t xml:space="preserve">Практикум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дев’ять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ПР 1 – ПР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0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Оцінюванню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самостійних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4B2D">
        <w:rPr>
          <w:rFonts w:ascii="Times New Roman" w:hAnsi="Times New Roman" w:cs="Times New Roman"/>
          <w:sz w:val="28"/>
          <w:szCs w:val="28"/>
        </w:rPr>
        <w:t xml:space="preserve"> межах</w:t>
      </w:r>
      <w:proofErr w:type="gram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семінару</w:t>
      </w:r>
      <w:r w:rsidRPr="00104B2D">
        <w:rPr>
          <w:rFonts w:ascii="Times New Roman" w:hAnsi="Times New Roman" w:cs="Times New Roman"/>
          <w:sz w:val="28"/>
          <w:szCs w:val="28"/>
        </w:rPr>
        <w:t xml:space="preserve">, тематику і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узгоджено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з темами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аудиторних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занять і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практикуму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змістового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модуля,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файлів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MS Word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презентацій, зосібна, на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>хмарни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 xml:space="preserve"> сервіс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ах,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аккаунт 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в СЕЗН ЗНУ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відгуку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захищається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викладачеві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передбачений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(на практичному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критичні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, то робота з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коментарями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здобувачеві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доопрацювання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Обов`язковою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перевірочна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здобувач-викладач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увімкненому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відео-режимі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 xml:space="preserve"> Zoom-</w:t>
      </w:r>
      <w:proofErr w:type="spellStart"/>
      <w:r w:rsidRPr="00104B2D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104B2D">
        <w:rPr>
          <w:rFonts w:ascii="Times New Roman" w:hAnsi="Times New Roman" w:cs="Times New Roman"/>
          <w:sz w:val="28"/>
          <w:szCs w:val="28"/>
        </w:rPr>
        <w:t>.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7DC">
        <w:rPr>
          <w:rFonts w:ascii="Times New Roman" w:hAnsi="Times New Roman" w:cs="Times New Roman"/>
          <w:i/>
          <w:iCs/>
          <w:sz w:val="28"/>
          <w:szCs w:val="28"/>
        </w:rPr>
        <w:t>Критерії</w:t>
      </w:r>
      <w:proofErr w:type="spellEnd"/>
      <w:r w:rsidRPr="002C27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i/>
          <w:iCs/>
          <w:sz w:val="28"/>
          <w:szCs w:val="28"/>
        </w:rPr>
        <w:t>оцінювання</w:t>
      </w:r>
      <w:proofErr w:type="spellEnd"/>
      <w:r w:rsidRPr="002C27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оцінювання семінарських / практичних завдань ПР1-ПР9</w:t>
      </w:r>
      <w:r w:rsidRPr="002C27D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7D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письмові завдання виконані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та правильно, в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навичок критичного й креативного мислення</w:t>
      </w:r>
      <w:r w:rsidRPr="002C27DC">
        <w:rPr>
          <w:rFonts w:ascii="Times New Roman" w:hAnsi="Times New Roman" w:cs="Times New Roman"/>
          <w:sz w:val="28"/>
          <w:szCs w:val="28"/>
        </w:rPr>
        <w:t xml:space="preserve">; роботу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здано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оформлено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охайно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уточнюючі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аргументовані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змістовні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ілюстративні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7DC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творчі завдання виконані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lastRenderedPageBreak/>
        <w:t>загалом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правильно, але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незначні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; роботу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здано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несуттєві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незначними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недоліками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>;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7D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виконано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логічні, стилістичні або фактологічні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; роботу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здано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несвоєчасно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але без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семестрового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поточного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семестру; робота оформлена в межах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структуровано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виражений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компілятивний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характер;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уточнюючі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вживанні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2C2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C074A" w:rsidRPr="002C27DC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7DC">
        <w:rPr>
          <w:rFonts w:ascii="Times New Roman" w:hAnsi="Times New Roman" w:cs="Times New Roman"/>
          <w:sz w:val="28"/>
          <w:szCs w:val="28"/>
          <w:lang w:val="uk-UA"/>
        </w:rPr>
        <w:t>0 балів – роботу не виконано або виконано не самостійно з порушенням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>принципів академічної доброчесності, зокрема виконано інший варіант завдання,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 xml:space="preserve">не в повному обсязі; наявні численні змістовні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граматичні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>помилки; роботу здано на перевірку з порушенням семестрового графіку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>освітнього процесу поточного навчального семестру; оформлення роботи не відповідає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>вимогам; п</w:t>
      </w:r>
      <w:r>
        <w:rPr>
          <w:rFonts w:ascii="Times New Roman" w:hAnsi="Times New Roman" w:cs="Times New Roman"/>
          <w:sz w:val="28"/>
          <w:szCs w:val="28"/>
          <w:lang w:val="uk-UA"/>
        </w:rPr>
        <w:t>ід час захисту</w:t>
      </w:r>
      <w:r w:rsidRPr="002C2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27DC">
        <w:rPr>
          <w:rFonts w:ascii="Times New Roman" w:hAnsi="Times New Roman" w:cs="Times New Roman"/>
          <w:sz w:val="28"/>
          <w:szCs w:val="28"/>
          <w:lang w:val="uk-UA"/>
        </w:rPr>
        <w:t>роботистудент</w:t>
      </w:r>
      <w:proofErr w:type="spellEnd"/>
      <w:r w:rsidRPr="002C27DC">
        <w:rPr>
          <w:rFonts w:ascii="Times New Roman" w:hAnsi="Times New Roman" w:cs="Times New Roman"/>
          <w:sz w:val="28"/>
          <w:szCs w:val="28"/>
          <w:lang w:val="uk-UA"/>
        </w:rPr>
        <w:t xml:space="preserve"> не володіє навчальним матеріалом та/або відповіді на запитання відсутні.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727F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Додаткові (заохочувальні) бали – до 10 балів.</w:t>
      </w:r>
    </w:p>
    <w:p w:rsidR="009C074A" w:rsidRPr="00B1727F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27F">
        <w:rPr>
          <w:rFonts w:ascii="Times New Roman" w:hAnsi="Times New Roman" w:cs="Times New Roman"/>
          <w:sz w:val="28"/>
          <w:szCs w:val="28"/>
          <w:lang w:val="uk-UA"/>
        </w:rPr>
        <w:t>Бальна система стимулювання поза аудиторної навчально-наукової активності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 додаткових балів, яку введено з метою заохочування здобувачів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до планомірної, систематичної роботи з поглибленого опанування теоретичним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матеріалом і стимулювання їх до творчого підходу та креативного мислення 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розв’язанні практичних завдань, які передбачено цією дисципліною.</w:t>
      </w:r>
    </w:p>
    <w:p w:rsidR="009C074A" w:rsidRPr="00B1727F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Позааудиторна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навчально-наукова активність здобувача є однією із 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самоосвіти (неформальна/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інформальна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>) при формуванні результатів навчання цієї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дисципліни (див. табл. 2.1) та має бути підтверджена відповідним документом (диплом,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сертифікат, свідоцтво тощо). Зміст 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позааудиторних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навчально-наукових 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за які можуть нараховуватися додаткові (заохочувальні) бали, повинні корелювати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результатами навчання дисципліни (див. табл. 2.1), зокрема за такі підтверджені види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діяльності: участь у студентських олімпіадах; представлення результатів 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науководослідних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робіт здобувача на студентських конкурсах, конференціях; наявність 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розробок і підготовленої роботи та презентації в частині науково-дослідних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прикладних досліджень, які проводяться викладачем навчальної дисципліни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відповідають її спрямуванню; участь у програмах здобуття неформальної/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освіти (онлайн-курси, розміщені на відкритих навчальних платформах, воркшопи,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>, майстер-класи, тренінги тощо - за наявності відповідних сертифікатів); 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види та форми </w:t>
      </w:r>
      <w:proofErr w:type="spellStart"/>
      <w:r w:rsidRPr="00B1727F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у контексті змісту та РН дисципліни.</w:t>
      </w:r>
    </w:p>
    <w:p w:rsidR="009C074A" w:rsidRPr="00B1727F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Якщо результати навчання (знання й уміння), отримані здобувачем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самоосвіти, відповідають повністю або частково корелюють (неповні, схожі, але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спорідненої галузі знань тощо) із РН дисципліни, які перевіряються поточними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контролями певного змістового модуля, викладач має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оцінити їх при складанні здобувачем з урахуванням цих додаткових балів, але перевищуючи максимальний бал за цей поточний контроль відповідно до критеріїв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оцінювання. Отримані додаткові бали додаються понад тих балів, які здобувач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здобути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, виконавши всі 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язкові види робіт і склавши усі поточні контролі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 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додаткові бали можуть стати вирішальними для отримання більш високої оцінки за весь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курс! Тому, НАПОЛЕГЛИВО РЕКОМЕНДУЄМО здобувачеві скористатися 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нагодою та підвищити свій загальний бал (максимально до 10 балів), отриманий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виконання всіх 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язкових видів контрольних заходів.</w:t>
      </w:r>
    </w:p>
    <w:p w:rsidR="009C074A" w:rsidRPr="00B1727F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727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Процедура оцінювання індивідуального практичного завдання.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27F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>ситуаційного кейсу індивідуалізується для кожного здобувача як унікальна змістовна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27F">
        <w:rPr>
          <w:rFonts w:ascii="Times New Roman" w:hAnsi="Times New Roman" w:cs="Times New Roman"/>
          <w:sz w:val="28"/>
          <w:szCs w:val="28"/>
          <w:lang w:val="uk-UA"/>
        </w:rPr>
        <w:t xml:space="preserve">постановка задачі, в якій симулюється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мовця, спічрайтера,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креатора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Виконання індивідуального завдання передбачає застосування творчих підходів до здобутих знань та умінь. Студент має виявити вміння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креативн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 письм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а: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довільно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створювати тексти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в оригінальній формі з проявом відкритості та винахідливості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07F3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 обмірк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 переплетіння різних ділянок знань, як з лінгвістики так і інших наук. Креативне письмо вимагає від студента володіння специфічним лексичним матеріалом та навчає його </w:t>
      </w:r>
      <w:proofErr w:type="spellStart"/>
      <w:r w:rsidRPr="00E807F3">
        <w:rPr>
          <w:rFonts w:ascii="Times New Roman" w:hAnsi="Times New Roman" w:cs="Times New Roman"/>
          <w:sz w:val="28"/>
          <w:szCs w:val="28"/>
          <w:lang w:val="uk-UA"/>
        </w:rPr>
        <w:t>логіці</w:t>
      </w:r>
      <w:proofErr w:type="spellEnd"/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послідовного викладу цього матеріалу.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 має р</w:t>
      </w:r>
      <w:r w:rsidRPr="007F7660">
        <w:rPr>
          <w:rFonts w:ascii="Times New Roman" w:hAnsi="Times New Roman" w:cs="Times New Roman"/>
          <w:sz w:val="28"/>
          <w:szCs w:val="28"/>
          <w:lang w:val="uk-UA"/>
        </w:rPr>
        <w:t xml:space="preserve">озробити повний план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одного з форматів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медіарилейшнз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F7660">
        <w:rPr>
          <w:rFonts w:ascii="Times New Roman" w:hAnsi="Times New Roman" w:cs="Times New Roman"/>
          <w:sz w:val="28"/>
          <w:szCs w:val="28"/>
          <w:lang w:val="uk-UA"/>
        </w:rPr>
        <w:t>пресконференції</w:t>
      </w:r>
      <w:proofErr w:type="spellEnd"/>
      <w:r w:rsidRPr="007F7660">
        <w:rPr>
          <w:rFonts w:ascii="Times New Roman" w:hAnsi="Times New Roman" w:cs="Times New Roman"/>
          <w:sz w:val="28"/>
          <w:szCs w:val="28"/>
          <w:lang w:val="uk-UA"/>
        </w:rPr>
        <w:t xml:space="preserve"> / круглого столу / брифінгу / </w:t>
      </w:r>
      <w:proofErr w:type="spellStart"/>
      <w:r w:rsidRPr="007F7660">
        <w:rPr>
          <w:rFonts w:ascii="Times New Roman" w:hAnsi="Times New Roman" w:cs="Times New Roman"/>
          <w:sz w:val="28"/>
          <w:szCs w:val="28"/>
          <w:lang w:val="uk-UA"/>
        </w:rPr>
        <w:t>прессніданка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Виступи мають спиратися на ф</w:t>
      </w:r>
      <w:r w:rsidRPr="007F7660">
        <w:rPr>
          <w:rFonts w:ascii="Times New Roman" w:hAnsi="Times New Roman" w:cs="Times New Roman"/>
          <w:sz w:val="28"/>
          <w:szCs w:val="28"/>
          <w:lang w:val="uk-UA"/>
        </w:rPr>
        <w:t>ормул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F7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7660">
        <w:rPr>
          <w:rFonts w:ascii="Times New Roman" w:hAnsi="Times New Roman" w:cs="Times New Roman"/>
          <w:sz w:val="28"/>
          <w:szCs w:val="28"/>
          <w:lang w:val="uk-UA"/>
        </w:rPr>
        <w:t>мисленнєво</w:t>
      </w:r>
      <w:proofErr w:type="spellEnd"/>
      <w:r w:rsidRPr="007F7660">
        <w:rPr>
          <w:rFonts w:ascii="Times New Roman" w:hAnsi="Times New Roman" w:cs="Times New Roman"/>
          <w:sz w:val="28"/>
          <w:szCs w:val="28"/>
          <w:lang w:val="uk-UA"/>
        </w:rPr>
        <w:t>-мовленнєвої діяльності виступу та механізм комунікативного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Pr="007F7660">
        <w:rPr>
          <w:rFonts w:ascii="Times New Roman" w:hAnsi="Times New Roman" w:cs="Times New Roman"/>
          <w:sz w:val="28"/>
          <w:szCs w:val="28"/>
          <w:lang w:val="uk-UA"/>
        </w:rPr>
        <w:t>инайдення (</w:t>
      </w:r>
      <w:proofErr w:type="spellStart"/>
      <w:r w:rsidRPr="007F7660">
        <w:rPr>
          <w:rFonts w:ascii="Times New Roman" w:hAnsi="Times New Roman" w:cs="Times New Roman"/>
          <w:sz w:val="28"/>
          <w:szCs w:val="28"/>
          <w:lang w:val="uk-UA"/>
        </w:rPr>
        <w:t>inventio</w:t>
      </w:r>
      <w:proofErr w:type="spellEnd"/>
      <w:r w:rsidRPr="007F7660">
        <w:rPr>
          <w:rFonts w:ascii="Times New Roman" w:hAnsi="Times New Roman" w:cs="Times New Roman"/>
          <w:sz w:val="28"/>
          <w:szCs w:val="28"/>
          <w:lang w:val="uk-UA"/>
        </w:rPr>
        <w:t xml:space="preserve"> “винайти, що сказати”)</w:t>
      </w:r>
      <w:r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Pr="007F7660">
        <w:rPr>
          <w:rFonts w:ascii="Times New Roman" w:hAnsi="Times New Roman" w:cs="Times New Roman"/>
          <w:sz w:val="28"/>
          <w:szCs w:val="28"/>
          <w:lang w:val="uk-UA"/>
        </w:rPr>
        <w:t>озташування (</w:t>
      </w:r>
      <w:proofErr w:type="spellStart"/>
      <w:r w:rsidRPr="007F7660">
        <w:rPr>
          <w:rFonts w:ascii="Times New Roman" w:hAnsi="Times New Roman" w:cs="Times New Roman"/>
          <w:sz w:val="28"/>
          <w:szCs w:val="28"/>
          <w:lang w:val="uk-UA"/>
        </w:rPr>
        <w:t>dispositio</w:t>
      </w:r>
      <w:proofErr w:type="spellEnd"/>
      <w:r w:rsidRPr="007F7660">
        <w:rPr>
          <w:rFonts w:ascii="Times New Roman" w:hAnsi="Times New Roman" w:cs="Times New Roman"/>
          <w:sz w:val="28"/>
          <w:szCs w:val="28"/>
          <w:lang w:val="uk-UA"/>
        </w:rPr>
        <w:t xml:space="preserve"> - “розташувати винайдене”) – етап ранжування компонентів матеріалу.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 здобувач має продемонструвати 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повне розуміння матеріалу,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вправно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обґрунтовує свої думки, застосовує знання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практиці, наводить необхідні приклади не тільки за підручником, а й самостійно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складені; викладає матеріал послідовно й правильно з точки зору норм сучасної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літературної мови;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написання текстів і відповідей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відзнача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ться багатством словникового запасу,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точністю використання морфологічних категорій і синтаксичних конструкцій;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7F3">
        <w:rPr>
          <w:rFonts w:ascii="Times New Roman" w:hAnsi="Times New Roman" w:cs="Times New Roman"/>
          <w:sz w:val="28"/>
          <w:szCs w:val="28"/>
          <w:lang w:val="uk-UA"/>
        </w:rPr>
        <w:t>досягнута стильова єдність і виразність тексту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C074A" w:rsidRPr="007F7660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F7660">
        <w:rPr>
          <w:rFonts w:ascii="Times New Roman" w:hAnsi="Times New Roman" w:cs="Times New Roman"/>
          <w:i/>
          <w:iCs/>
          <w:sz w:val="28"/>
          <w:szCs w:val="28"/>
          <w:lang w:val="ru-UA"/>
        </w:rPr>
        <w:t>Критерії оцінювання індивідуального практичного завдання.</w:t>
      </w:r>
    </w:p>
    <w:p w:rsidR="009C074A" w:rsidRPr="007F7660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F7660">
        <w:rPr>
          <w:rFonts w:ascii="Times New Roman" w:hAnsi="Times New Roman" w:cs="Times New Roman"/>
          <w:i/>
          <w:iCs/>
          <w:sz w:val="28"/>
          <w:szCs w:val="28"/>
          <w:lang w:val="ru-UA"/>
        </w:rPr>
        <w:t>4-5 бали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 – захист супроводжується слайдами-презентацією, презентацію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структуровано за етапами вирішення практичних завдань; доповідь логічна і змістовна,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синхронізована з демонстрацією слайдів презентації, проголошена вільно;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продемонстровано володіння основним і додатковим матеріалом дисципліни; відповіді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на запитання, зокрема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lastRenderedPageBreak/>
        <w:t>уточнюючі, повні, правильні й аргументовані, зокрема здобувач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наводить ілюстративні приклади у контексті вирішення проблематики практичного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завдання;</w:t>
      </w:r>
    </w:p>
    <w:p w:rsidR="009C074A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F7660">
        <w:rPr>
          <w:rFonts w:ascii="Times New Roman" w:hAnsi="Times New Roman" w:cs="Times New Roman"/>
          <w:i/>
          <w:iCs/>
          <w:sz w:val="28"/>
          <w:szCs w:val="28"/>
          <w:lang w:val="ru-UA"/>
        </w:rPr>
        <w:t>2-3 бали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 – захист супроводжується слайдами-презентацією, презентацію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структуровано, але добір інформаційних матеріалів (таблиці, графіки, схеми, скріншоти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розрахунків тощо) не завжди обґрунтований та/або контекстний; доповідь логічна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змістовна, проголошена переважно вільно; відповіді на запитання, зокрема уточнюючі,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 цілому правильні й аргументовані, але не виходять за межі основного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дисципліни.</w:t>
      </w:r>
    </w:p>
    <w:p w:rsidR="009C074A" w:rsidRPr="007F7660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F7660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Семестровий контроль проводиться у формі заліку,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 що передбачає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виконаних завдань усіх контрольних заходів впродовж семестру. Нижня межа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позитивного оцінювання кожного контрольного заходу складає 60% від максимальних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балів, визначених для цього контрольного заходу, а негативний результат оцінюється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0 балів. </w:t>
      </w:r>
      <w:r w:rsidRPr="007F7660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Загальна семестрова бальна оцінка за дисципліну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 складається як сума бальних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оцінок за всі поточні контролі з усіх змістових модулів (з урахуванням додаткових балів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за навчально-наукову активність), комплексний підсумковий тест та індивідуальне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 xml:space="preserve">практичне завдання і не може перевищувати </w:t>
      </w:r>
      <w:r w:rsidRPr="007F7660">
        <w:rPr>
          <w:rFonts w:ascii="Times New Roman" w:hAnsi="Times New Roman" w:cs="Times New Roman"/>
          <w:b/>
          <w:bCs/>
          <w:sz w:val="28"/>
          <w:szCs w:val="28"/>
          <w:lang w:val="ru-UA"/>
        </w:rPr>
        <w:t>100 балів</w:t>
      </w:r>
      <w:r w:rsidRPr="007F7660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:rsidR="009C074A" w:rsidRPr="00B1727F" w:rsidRDefault="009C074A" w:rsidP="009C07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66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семестрова бальна оцінка</w:t>
      </w:r>
      <w:r w:rsidRPr="004C736F">
        <w:rPr>
          <w:rFonts w:ascii="Times New Roman" w:hAnsi="Times New Roman" w:cs="Times New Roman"/>
          <w:sz w:val="28"/>
          <w:szCs w:val="28"/>
          <w:lang w:val="uk-UA"/>
        </w:rPr>
        <w:t xml:space="preserve"> за дисципліну складається як сума бальних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36F">
        <w:rPr>
          <w:rFonts w:ascii="Times New Roman" w:hAnsi="Times New Roman" w:cs="Times New Roman"/>
          <w:sz w:val="28"/>
          <w:szCs w:val="28"/>
          <w:lang w:val="uk-UA"/>
        </w:rPr>
        <w:t>оцінок за всі поточні контролі з усіх змістових модулів (з урахуванням додаткових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36F">
        <w:rPr>
          <w:rFonts w:ascii="Times New Roman" w:hAnsi="Times New Roman" w:cs="Times New Roman"/>
          <w:sz w:val="28"/>
          <w:szCs w:val="28"/>
          <w:lang w:val="uk-UA"/>
        </w:rPr>
        <w:t>балів за навчально-наукову активність) та за підсумковий контроль і не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36F">
        <w:rPr>
          <w:rFonts w:ascii="Times New Roman" w:hAnsi="Times New Roman" w:cs="Times New Roman"/>
          <w:sz w:val="28"/>
          <w:szCs w:val="28"/>
          <w:lang w:val="uk-UA"/>
        </w:rPr>
        <w:t>перевищувати 100 балів. Бальна оцінка переводиться у національну шкалу та шкалу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36F">
        <w:rPr>
          <w:rFonts w:ascii="Times New Roman" w:hAnsi="Times New Roman" w:cs="Times New Roman"/>
          <w:sz w:val="28"/>
          <w:szCs w:val="28"/>
          <w:lang w:val="uk-UA"/>
        </w:rPr>
        <w:t>ECTS.</w:t>
      </w:r>
    </w:p>
    <w:p w:rsidR="00254A5E" w:rsidRDefault="00254A5E"/>
    <w:sectPr w:rsidR="0025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4A"/>
    <w:rsid w:val="00254A5E"/>
    <w:rsid w:val="009C074A"/>
    <w:rsid w:val="00D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78EB19-173D-C44A-8537-C6485AF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4A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4646</Words>
  <Characters>26485</Characters>
  <Application>Microsoft Office Word</Application>
  <DocSecurity>0</DocSecurity>
  <Lines>220</Lines>
  <Paragraphs>62</Paragraphs>
  <ScaleCrop>false</ScaleCrop>
  <Company/>
  <LinksUpToDate>false</LinksUpToDate>
  <CharactersWithSpaces>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Office</dc:creator>
  <cp:keywords/>
  <dc:description/>
  <cp:lastModifiedBy>M Office</cp:lastModifiedBy>
  <cp:revision>1</cp:revision>
  <dcterms:created xsi:type="dcterms:W3CDTF">2025-09-19T08:18:00Z</dcterms:created>
  <dcterms:modified xsi:type="dcterms:W3CDTF">2025-09-19T08:20:00Z</dcterms:modified>
</cp:coreProperties>
</file>