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F6" w:rsidRDefault="00BD60D3">
      <w:pPr>
        <w:pStyle w:val="a4"/>
      </w:pPr>
      <w:proofErr w:type="spellStart"/>
      <w:r>
        <w:rPr>
          <w:color w:val="30849B"/>
        </w:rPr>
        <w:t>Cемінарське</w:t>
      </w:r>
      <w:proofErr w:type="spellEnd"/>
      <w:r>
        <w:rPr>
          <w:color w:val="30849B"/>
          <w:spacing w:val="-4"/>
        </w:rPr>
        <w:t xml:space="preserve"> </w:t>
      </w:r>
      <w:r>
        <w:rPr>
          <w:color w:val="30849B"/>
        </w:rPr>
        <w:t>заняття</w:t>
      </w:r>
      <w:r>
        <w:rPr>
          <w:color w:val="30849B"/>
          <w:spacing w:val="-1"/>
        </w:rPr>
        <w:t xml:space="preserve"> </w:t>
      </w:r>
      <w:r>
        <w:rPr>
          <w:color w:val="30849B"/>
        </w:rPr>
        <w:t>3</w:t>
      </w:r>
    </w:p>
    <w:p w:rsidR="009738F6" w:rsidRDefault="00BD60D3">
      <w:pPr>
        <w:spacing w:line="275" w:lineRule="exact"/>
        <w:ind w:left="3063" w:right="2676"/>
        <w:jc w:val="center"/>
        <w:rPr>
          <w:b/>
          <w:sz w:val="24"/>
        </w:rPr>
      </w:pPr>
      <w:r>
        <w:rPr>
          <w:b/>
          <w:sz w:val="24"/>
        </w:rPr>
        <w:t>Тема.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Професійна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діяльність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юриста</w:t>
      </w:r>
    </w:p>
    <w:p w:rsidR="009738F6" w:rsidRDefault="00BD60D3">
      <w:pPr>
        <w:spacing w:line="272" w:lineRule="exact"/>
        <w:ind w:left="3063" w:right="2676"/>
        <w:jc w:val="center"/>
        <w:rPr>
          <w:b/>
          <w:i/>
          <w:sz w:val="24"/>
        </w:rPr>
      </w:pPr>
      <w:r>
        <w:rPr>
          <w:b/>
          <w:i/>
          <w:color w:val="30849B"/>
          <w:sz w:val="24"/>
        </w:rPr>
        <w:t>Теоретичні</w:t>
      </w:r>
      <w:r>
        <w:rPr>
          <w:b/>
          <w:i/>
          <w:color w:val="30849B"/>
          <w:spacing w:val="-3"/>
          <w:sz w:val="24"/>
        </w:rPr>
        <w:t xml:space="preserve"> </w:t>
      </w:r>
      <w:r>
        <w:rPr>
          <w:b/>
          <w:i/>
          <w:color w:val="30849B"/>
          <w:sz w:val="24"/>
        </w:rPr>
        <w:t>питання</w:t>
      </w:r>
    </w:p>
    <w:p w:rsidR="009738F6" w:rsidRDefault="00BD60D3" w:rsidP="00BD60D3">
      <w:pPr>
        <w:pStyle w:val="a3"/>
        <w:numPr>
          <w:ilvl w:val="0"/>
          <w:numId w:val="1"/>
        </w:numPr>
        <w:spacing w:line="272" w:lineRule="exact"/>
      </w:pPr>
      <w:r>
        <w:t>Юридична</w:t>
      </w:r>
      <w:r>
        <w:rPr>
          <w:spacing w:val="-3"/>
        </w:rPr>
        <w:t xml:space="preserve"> </w:t>
      </w:r>
      <w:r>
        <w:t>діяльність:</w:t>
      </w:r>
      <w:r>
        <w:rPr>
          <w:spacing w:val="-4"/>
        </w:rPr>
        <w:t xml:space="preserve"> </w:t>
      </w:r>
      <w:r>
        <w:t>поняття,</w:t>
      </w:r>
      <w:r>
        <w:rPr>
          <w:spacing w:val="-2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риси,</w:t>
      </w:r>
      <w:r>
        <w:rPr>
          <w:spacing w:val="-5"/>
        </w:rPr>
        <w:t xml:space="preserve"> </w:t>
      </w:r>
      <w:r>
        <w:t>зміст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види.</w:t>
      </w:r>
    </w:p>
    <w:p w:rsidR="009738F6" w:rsidRDefault="00BD60D3">
      <w:pPr>
        <w:pStyle w:val="a5"/>
        <w:numPr>
          <w:ilvl w:val="0"/>
          <w:numId w:val="1"/>
        </w:numPr>
        <w:tabs>
          <w:tab w:val="left" w:pos="774"/>
        </w:tabs>
        <w:ind w:right="103"/>
        <w:jc w:val="both"/>
        <w:rPr>
          <w:sz w:val="24"/>
        </w:rPr>
      </w:pPr>
      <w:r>
        <w:rPr>
          <w:sz w:val="24"/>
        </w:rPr>
        <w:t>Професія та спеціалізація юриста. Поняття та зміст професійної діяльності: суддів,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адвокатів та юрисконсультів, нотаріусів, працівників прокуратури, Національної поліції</w:t>
      </w:r>
      <w:r>
        <w:rPr>
          <w:sz w:val="24"/>
        </w:rPr>
        <w:t xml:space="preserve"> та 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9738F6" w:rsidRDefault="00BD60D3">
      <w:pPr>
        <w:pStyle w:val="a5"/>
        <w:numPr>
          <w:ilvl w:val="0"/>
          <w:numId w:val="1"/>
        </w:numPr>
        <w:tabs>
          <w:tab w:val="left" w:pos="774"/>
        </w:tabs>
        <w:ind w:hanging="287"/>
        <w:jc w:val="both"/>
        <w:rPr>
          <w:sz w:val="24"/>
        </w:rPr>
      </w:pPr>
      <w:r>
        <w:rPr>
          <w:sz w:val="24"/>
        </w:rPr>
        <w:t>Компетентність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професіоналізм,</w:t>
      </w:r>
      <w:r>
        <w:rPr>
          <w:spacing w:val="-3"/>
          <w:sz w:val="24"/>
        </w:rPr>
        <w:t xml:space="preserve"> </w:t>
      </w:r>
      <w:r>
        <w:rPr>
          <w:sz w:val="24"/>
        </w:rPr>
        <w:t>атестація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кваліфікація</w:t>
      </w:r>
      <w:r>
        <w:rPr>
          <w:spacing w:val="-2"/>
          <w:sz w:val="24"/>
        </w:rPr>
        <w:t xml:space="preserve"> </w:t>
      </w:r>
      <w:r>
        <w:rPr>
          <w:sz w:val="24"/>
        </w:rPr>
        <w:t>юриста.</w:t>
      </w:r>
    </w:p>
    <w:p w:rsidR="009738F6" w:rsidRDefault="00BD60D3">
      <w:pPr>
        <w:pStyle w:val="a5"/>
        <w:numPr>
          <w:ilvl w:val="0"/>
          <w:numId w:val="1"/>
        </w:numPr>
        <w:tabs>
          <w:tab w:val="left" w:pos="774"/>
        </w:tabs>
        <w:ind w:hanging="287"/>
        <w:jc w:val="both"/>
        <w:rPr>
          <w:sz w:val="24"/>
        </w:rPr>
      </w:pPr>
      <w:r>
        <w:rPr>
          <w:sz w:val="24"/>
        </w:rPr>
        <w:t>Політичний</w:t>
      </w:r>
      <w:r>
        <w:rPr>
          <w:spacing w:val="-3"/>
          <w:sz w:val="24"/>
        </w:rPr>
        <w:t xml:space="preserve"> </w:t>
      </w:r>
      <w:r>
        <w:rPr>
          <w:sz w:val="24"/>
        </w:rPr>
        <w:t>плюралізм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громадські</w:t>
      </w:r>
      <w:r>
        <w:rPr>
          <w:spacing w:val="-3"/>
          <w:sz w:val="24"/>
        </w:rPr>
        <w:t xml:space="preserve"> </w:t>
      </w:r>
      <w:r>
        <w:rPr>
          <w:sz w:val="24"/>
        </w:rPr>
        <w:t>об’єднання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юристів</w:t>
      </w:r>
    </w:p>
    <w:p w:rsidR="009738F6" w:rsidRDefault="00BD60D3">
      <w:pPr>
        <w:pStyle w:val="a5"/>
        <w:numPr>
          <w:ilvl w:val="0"/>
          <w:numId w:val="1"/>
        </w:numPr>
        <w:tabs>
          <w:tab w:val="left" w:pos="774"/>
        </w:tabs>
        <w:ind w:hanging="287"/>
        <w:jc w:val="both"/>
        <w:rPr>
          <w:sz w:val="24"/>
        </w:rPr>
      </w:pPr>
      <w:r>
        <w:rPr>
          <w:sz w:val="24"/>
        </w:rPr>
        <w:t>Дизайн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ергономіка</w:t>
      </w:r>
      <w:r>
        <w:rPr>
          <w:spacing w:val="-2"/>
          <w:sz w:val="24"/>
        </w:rPr>
        <w:t xml:space="preserve"> </w:t>
      </w:r>
      <w:r>
        <w:rPr>
          <w:sz w:val="24"/>
        </w:rPr>
        <w:t>місця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"/>
          <w:sz w:val="24"/>
        </w:rPr>
        <w:t xml:space="preserve"> </w:t>
      </w:r>
      <w:r>
        <w:rPr>
          <w:sz w:val="24"/>
        </w:rPr>
        <w:t>юриста</w:t>
      </w:r>
    </w:p>
    <w:p w:rsidR="009738F6" w:rsidRDefault="00BD60D3">
      <w:pPr>
        <w:pStyle w:val="a5"/>
        <w:numPr>
          <w:ilvl w:val="0"/>
          <w:numId w:val="1"/>
        </w:numPr>
        <w:tabs>
          <w:tab w:val="left" w:pos="774"/>
        </w:tabs>
        <w:ind w:hanging="287"/>
        <w:jc w:val="both"/>
        <w:rPr>
          <w:sz w:val="24"/>
        </w:rPr>
      </w:pPr>
      <w:r>
        <w:rPr>
          <w:sz w:val="24"/>
        </w:rPr>
        <w:t>Міжнародні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3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юриста.</w:t>
      </w:r>
    </w:p>
    <w:p w:rsidR="009738F6" w:rsidRDefault="00BD60D3">
      <w:pPr>
        <w:pStyle w:val="a5"/>
        <w:numPr>
          <w:ilvl w:val="0"/>
          <w:numId w:val="1"/>
        </w:numPr>
        <w:tabs>
          <w:tab w:val="left" w:pos="774"/>
        </w:tabs>
        <w:spacing w:before="1"/>
        <w:ind w:hanging="287"/>
        <w:jc w:val="both"/>
        <w:rPr>
          <w:sz w:val="24"/>
        </w:rPr>
      </w:pP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стилі</w:t>
      </w:r>
      <w:r>
        <w:rPr>
          <w:spacing w:val="-4"/>
          <w:sz w:val="24"/>
        </w:rPr>
        <w:t xml:space="preserve"> </w:t>
      </w:r>
      <w:r>
        <w:rPr>
          <w:sz w:val="24"/>
        </w:rPr>
        <w:t>керівництва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трудовими</w:t>
      </w:r>
      <w:r>
        <w:rPr>
          <w:spacing w:val="-4"/>
          <w:sz w:val="24"/>
        </w:rPr>
        <w:t xml:space="preserve"> </w:t>
      </w:r>
      <w:r>
        <w:rPr>
          <w:sz w:val="24"/>
        </w:rPr>
        <w:t>колективами.</w:t>
      </w:r>
    </w:p>
    <w:p w:rsidR="009738F6" w:rsidRDefault="00BD60D3">
      <w:pPr>
        <w:pStyle w:val="a5"/>
        <w:numPr>
          <w:ilvl w:val="0"/>
          <w:numId w:val="1"/>
        </w:numPr>
        <w:tabs>
          <w:tab w:val="left" w:pos="774"/>
        </w:tabs>
        <w:ind w:hanging="287"/>
        <w:jc w:val="both"/>
        <w:rPr>
          <w:sz w:val="24"/>
        </w:rPr>
      </w:pPr>
      <w:r>
        <w:rPr>
          <w:sz w:val="24"/>
        </w:rPr>
        <w:t>Присяга</w:t>
      </w:r>
      <w:r>
        <w:rPr>
          <w:spacing w:val="-2"/>
          <w:sz w:val="24"/>
        </w:rPr>
        <w:t xml:space="preserve"> </w:t>
      </w:r>
      <w:r>
        <w:rPr>
          <w:sz w:val="24"/>
        </w:rPr>
        <w:t>юриста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професійна</w:t>
      </w:r>
      <w:r>
        <w:rPr>
          <w:spacing w:val="-1"/>
          <w:sz w:val="24"/>
        </w:rPr>
        <w:t xml:space="preserve"> </w:t>
      </w:r>
      <w:r>
        <w:rPr>
          <w:sz w:val="24"/>
        </w:rPr>
        <w:t>таємниця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роботі.</w:t>
      </w:r>
      <w:bookmarkStart w:id="0" w:name="_GoBack"/>
      <w:bookmarkEnd w:id="0"/>
    </w:p>
    <w:sectPr w:rsidR="009738F6">
      <w:type w:val="continuous"/>
      <w:pgSz w:w="11920" w:h="16850"/>
      <w:pgMar w:top="960" w:right="4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A028F"/>
    <w:multiLevelType w:val="hybridMultilevel"/>
    <w:tmpl w:val="B0B6EB76"/>
    <w:lvl w:ilvl="0" w:tplc="B5D08118">
      <w:start w:val="1"/>
      <w:numFmt w:val="decimal"/>
      <w:lvlText w:val="%1."/>
      <w:lvlJc w:val="left"/>
      <w:pPr>
        <w:ind w:left="773" w:hanging="28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1804D9E8">
      <w:numFmt w:val="bullet"/>
      <w:lvlText w:val="•"/>
      <w:lvlJc w:val="left"/>
      <w:pPr>
        <w:ind w:left="1679" w:hanging="286"/>
      </w:pPr>
      <w:rPr>
        <w:rFonts w:hint="default"/>
        <w:lang w:val="uk-UA" w:eastAsia="en-US" w:bidi="ar-SA"/>
      </w:rPr>
    </w:lvl>
    <w:lvl w:ilvl="2" w:tplc="21F066D2">
      <w:numFmt w:val="bullet"/>
      <w:lvlText w:val="•"/>
      <w:lvlJc w:val="left"/>
      <w:pPr>
        <w:ind w:left="2578" w:hanging="286"/>
      </w:pPr>
      <w:rPr>
        <w:rFonts w:hint="default"/>
        <w:lang w:val="uk-UA" w:eastAsia="en-US" w:bidi="ar-SA"/>
      </w:rPr>
    </w:lvl>
    <w:lvl w:ilvl="3" w:tplc="0BB0AD60">
      <w:numFmt w:val="bullet"/>
      <w:lvlText w:val="•"/>
      <w:lvlJc w:val="left"/>
      <w:pPr>
        <w:ind w:left="3477" w:hanging="286"/>
      </w:pPr>
      <w:rPr>
        <w:rFonts w:hint="default"/>
        <w:lang w:val="uk-UA" w:eastAsia="en-US" w:bidi="ar-SA"/>
      </w:rPr>
    </w:lvl>
    <w:lvl w:ilvl="4" w:tplc="D89C6184">
      <w:numFmt w:val="bullet"/>
      <w:lvlText w:val="•"/>
      <w:lvlJc w:val="left"/>
      <w:pPr>
        <w:ind w:left="4376" w:hanging="286"/>
      </w:pPr>
      <w:rPr>
        <w:rFonts w:hint="default"/>
        <w:lang w:val="uk-UA" w:eastAsia="en-US" w:bidi="ar-SA"/>
      </w:rPr>
    </w:lvl>
    <w:lvl w:ilvl="5" w:tplc="991A222A">
      <w:numFmt w:val="bullet"/>
      <w:lvlText w:val="•"/>
      <w:lvlJc w:val="left"/>
      <w:pPr>
        <w:ind w:left="5275" w:hanging="286"/>
      </w:pPr>
      <w:rPr>
        <w:rFonts w:hint="default"/>
        <w:lang w:val="uk-UA" w:eastAsia="en-US" w:bidi="ar-SA"/>
      </w:rPr>
    </w:lvl>
    <w:lvl w:ilvl="6" w:tplc="2A045058">
      <w:numFmt w:val="bullet"/>
      <w:lvlText w:val="•"/>
      <w:lvlJc w:val="left"/>
      <w:pPr>
        <w:ind w:left="6174" w:hanging="286"/>
      </w:pPr>
      <w:rPr>
        <w:rFonts w:hint="default"/>
        <w:lang w:val="uk-UA" w:eastAsia="en-US" w:bidi="ar-SA"/>
      </w:rPr>
    </w:lvl>
    <w:lvl w:ilvl="7" w:tplc="CCB61BBE">
      <w:numFmt w:val="bullet"/>
      <w:lvlText w:val="•"/>
      <w:lvlJc w:val="left"/>
      <w:pPr>
        <w:ind w:left="7073" w:hanging="286"/>
      </w:pPr>
      <w:rPr>
        <w:rFonts w:hint="default"/>
        <w:lang w:val="uk-UA" w:eastAsia="en-US" w:bidi="ar-SA"/>
      </w:rPr>
    </w:lvl>
    <w:lvl w:ilvl="8" w:tplc="9A346426">
      <w:numFmt w:val="bullet"/>
      <w:lvlText w:val="•"/>
      <w:lvlJc w:val="left"/>
      <w:pPr>
        <w:ind w:left="7972" w:hanging="28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F6"/>
    <w:rsid w:val="009738F6"/>
    <w:rsid w:val="00B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77B94-93B6-4C0A-836E-C84DC407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73" w:hanging="28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6" w:line="321" w:lineRule="exact"/>
      <w:ind w:left="3063" w:right="267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773" w:hanging="28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2023-08-30T15:48:00Z</dcterms:created>
  <dcterms:modified xsi:type="dcterms:W3CDTF">2023-08-30T15:48:00Z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2023-08-30T00:00:00Z</vt:filetime>
  </property>
</Properties>
</file>