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4B" w:rsidRPr="002B6E3F" w:rsidRDefault="009B1A4B" w:rsidP="009B1A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E3F">
        <w:rPr>
          <w:rFonts w:ascii="Times New Roman" w:hAnsi="Times New Roman" w:cs="Times New Roman"/>
          <w:b/>
          <w:sz w:val="28"/>
          <w:szCs w:val="28"/>
          <w:lang w:val="uk-UA"/>
        </w:rPr>
        <w:t>ТЕМА 12. ПРАВОВЕ РЕГУЛЮВАННЯ ТА ЙОГО МЕХАНІЗМ</w:t>
      </w:r>
    </w:p>
    <w:p w:rsidR="009B1A4B" w:rsidRPr="00E15623" w:rsidRDefault="009B1A4B" w:rsidP="009B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1. Поняття, особливості та предмет регулювання суспільних відносин.</w:t>
      </w:r>
    </w:p>
    <w:p w:rsidR="009B1A4B" w:rsidRPr="00E15623" w:rsidRDefault="009B1A4B" w:rsidP="009B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2. Способи, методи та типи правового регулювання. Правовий режим.</w:t>
      </w:r>
    </w:p>
    <w:p w:rsidR="009B1A4B" w:rsidRPr="00E15623" w:rsidRDefault="009B1A4B" w:rsidP="009B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3. Види правового регулювання.</w:t>
      </w:r>
    </w:p>
    <w:p w:rsidR="009B1A4B" w:rsidRPr="00E15623" w:rsidRDefault="009B1A4B" w:rsidP="009B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4. Механізм правового регулювання суспільних відносин: поняття,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елементи, стадії.</w:t>
      </w:r>
    </w:p>
    <w:p w:rsidR="009B1A4B" w:rsidRDefault="009B1A4B" w:rsidP="009B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5. Ефективність правового регулювання.</w:t>
      </w:r>
    </w:p>
    <w:p w:rsidR="00DB7810" w:rsidRDefault="00DB7810">
      <w:bookmarkStart w:id="0" w:name="_GoBack"/>
      <w:bookmarkEnd w:id="0"/>
    </w:p>
    <w:sectPr w:rsidR="00DB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4B"/>
    <w:rsid w:val="009B1A4B"/>
    <w:rsid w:val="00D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D4981-09C7-4B61-B7BD-8E4AF12D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2023-09-04T08:03:00Z</dcterms:created>
  <dcterms:modified xsi:type="dcterms:W3CDTF">2023-09-04T08:04:00Z</dcterms:modified>
</cp:coreProperties>
</file>