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6A" w:rsidRPr="00456D6A" w:rsidRDefault="00456D6A" w:rsidP="00456D6A">
      <w:pPr>
        <w:spacing w:line="360" w:lineRule="auto"/>
        <w:rPr>
          <w:b/>
          <w:sz w:val="28"/>
          <w:szCs w:val="28"/>
        </w:rPr>
      </w:pPr>
      <w:bookmarkStart w:id="0" w:name="_GoBack"/>
      <w:r w:rsidRPr="00456D6A">
        <w:rPr>
          <w:b/>
          <w:sz w:val="28"/>
          <w:szCs w:val="28"/>
        </w:rPr>
        <w:t xml:space="preserve">Практичне завдання 3 . </w:t>
      </w:r>
    </w:p>
    <w:p w:rsidR="00456D6A" w:rsidRPr="00456D6A" w:rsidRDefault="00456D6A" w:rsidP="00456D6A">
      <w:pPr>
        <w:spacing w:line="360" w:lineRule="auto"/>
        <w:rPr>
          <w:b/>
          <w:sz w:val="28"/>
          <w:szCs w:val="28"/>
          <w:lang w:eastAsia="ru-RU"/>
        </w:rPr>
      </w:pPr>
      <w:r w:rsidRPr="00456D6A">
        <w:rPr>
          <w:b/>
          <w:sz w:val="28"/>
          <w:szCs w:val="28"/>
        </w:rPr>
        <w:t>План:</w:t>
      </w:r>
    </w:p>
    <w:p w:rsidR="00456D6A" w:rsidRPr="00456D6A" w:rsidRDefault="00456D6A" w:rsidP="00456D6A">
      <w:pPr>
        <w:spacing w:line="360" w:lineRule="auto"/>
        <w:rPr>
          <w:sz w:val="28"/>
          <w:szCs w:val="28"/>
        </w:rPr>
      </w:pPr>
      <w:r w:rsidRPr="00456D6A">
        <w:rPr>
          <w:sz w:val="28"/>
          <w:szCs w:val="28"/>
        </w:rPr>
        <w:t xml:space="preserve">1. Проблеми материнства та батьківства – важливий напрям жіночих та ґендерних досліджень. </w:t>
      </w:r>
    </w:p>
    <w:p w:rsidR="00456D6A" w:rsidRPr="00456D6A" w:rsidRDefault="00456D6A" w:rsidP="00456D6A">
      <w:pPr>
        <w:spacing w:line="360" w:lineRule="auto"/>
        <w:rPr>
          <w:sz w:val="28"/>
          <w:szCs w:val="28"/>
        </w:rPr>
      </w:pPr>
      <w:r w:rsidRPr="00456D6A">
        <w:rPr>
          <w:sz w:val="28"/>
          <w:szCs w:val="28"/>
        </w:rPr>
        <w:t xml:space="preserve">2. Сучасні моделі батьківської поведінки, моделі материнської поведінки. </w:t>
      </w:r>
    </w:p>
    <w:p w:rsidR="00456D6A" w:rsidRPr="00456D6A" w:rsidRDefault="00456D6A" w:rsidP="00456D6A">
      <w:pPr>
        <w:spacing w:line="360" w:lineRule="auto"/>
        <w:rPr>
          <w:sz w:val="28"/>
          <w:szCs w:val="28"/>
        </w:rPr>
      </w:pPr>
      <w:r w:rsidRPr="00456D6A">
        <w:rPr>
          <w:sz w:val="28"/>
          <w:szCs w:val="28"/>
        </w:rPr>
        <w:t xml:space="preserve">3. Стилі виховання хлопчиків і </w:t>
      </w:r>
      <w:proofErr w:type="spellStart"/>
      <w:r w:rsidRPr="00456D6A">
        <w:rPr>
          <w:sz w:val="28"/>
          <w:szCs w:val="28"/>
        </w:rPr>
        <w:t>дівчаток</w:t>
      </w:r>
      <w:proofErr w:type="spellEnd"/>
      <w:r w:rsidRPr="00456D6A">
        <w:rPr>
          <w:sz w:val="28"/>
          <w:szCs w:val="28"/>
        </w:rPr>
        <w:t xml:space="preserve"> в сім’ї. </w:t>
      </w:r>
    </w:p>
    <w:p w:rsidR="00161665" w:rsidRPr="00456D6A" w:rsidRDefault="00456D6A" w:rsidP="00456D6A">
      <w:pPr>
        <w:spacing w:line="360" w:lineRule="auto"/>
        <w:rPr>
          <w:sz w:val="28"/>
          <w:szCs w:val="28"/>
        </w:rPr>
      </w:pPr>
      <w:r w:rsidRPr="00456D6A">
        <w:rPr>
          <w:sz w:val="28"/>
          <w:szCs w:val="28"/>
        </w:rPr>
        <w:t>4. Роль іграшок у ґендерній соціалізації та вихованні дітей. 5. Попередження насильства та захист прав дитини в сім’ї</w:t>
      </w:r>
      <w:bookmarkEnd w:id="0"/>
    </w:p>
    <w:sectPr w:rsidR="00161665" w:rsidRPr="0045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98"/>
    <w:rsid w:val="00110824"/>
    <w:rsid w:val="00161665"/>
    <w:rsid w:val="00456D6A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E9C6"/>
  <w15:chartTrackingRefBased/>
  <w15:docId w15:val="{F360066F-D400-42EF-BF1D-72A2E9A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6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2023-09-12T17:34:00Z</dcterms:created>
  <dcterms:modified xsi:type="dcterms:W3CDTF">2023-09-12T17:34:00Z</dcterms:modified>
</cp:coreProperties>
</file>