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96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r w:rsidRPr="00A300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(конспект ) </w:t>
      </w:r>
      <w:r w:rsidRPr="00A30050">
        <w:rPr>
          <w:rFonts w:ascii="Times New Roman" w:hAnsi="Times New Roman" w:cs="Times New Roman"/>
          <w:i/>
          <w:sz w:val="28"/>
          <w:szCs w:val="28"/>
          <w:lang w:val="uk-UA"/>
        </w:rPr>
        <w:t>Тема 9.  Нормативне забезпечення  гендерної  рівності  в  публічному  управлінні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i/>
          <w:sz w:val="28"/>
          <w:szCs w:val="28"/>
          <w:lang w:val="uk-UA"/>
        </w:rPr>
        <w:t>Питання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b/>
          <w:sz w:val="28"/>
          <w:szCs w:val="28"/>
          <w:lang w:val="uk-UA"/>
        </w:rPr>
        <w:t>1. Законодавчі  акти  з  гендерної  рівності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A30050">
        <w:rPr>
          <w:rFonts w:ascii="Times New Roman" w:hAnsi="Times New Roman" w:cs="Times New Roman"/>
          <w:b/>
          <w:sz w:val="28"/>
          <w:szCs w:val="28"/>
          <w:lang w:val="uk-UA"/>
        </w:rPr>
        <w:t>Підзаконні нормативні  акти з  гендерної рівності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b/>
          <w:i/>
          <w:sz w:val="28"/>
          <w:szCs w:val="28"/>
          <w:lang w:val="uk-UA"/>
        </w:rPr>
        <w:t>1. Законодавчі  акти  з  гендерної  рівності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вересні 2005 р. парламент прийняв Закон України «Про забезпечення рівних прав можливостей жінок і чоловіків», у якому розглядається впровадження ґендерних підходів як цілісний процес і стратегічний орієнтир.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Прогресивне значення для України цього документа полягає у тому, що в ньому юридично забезпечуються: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узгодження і гармонізація національного законодавства з питань </w:t>
      </w:r>
      <w:proofErr w:type="spellStart"/>
      <w:r w:rsidRPr="00A30050">
        <w:rPr>
          <w:rFonts w:ascii="Times New Roman" w:hAnsi="Times New Roman" w:cs="Times New Roman"/>
          <w:sz w:val="28"/>
          <w:szCs w:val="28"/>
          <w:lang w:val="uk-UA"/>
        </w:rPr>
        <w:t>ґендеру</w:t>
      </w:r>
      <w:proofErr w:type="spellEnd"/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 з міжнародним;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законодавче визнання наявності в країні ґендерної дискримінації в усіх сферах соціального життя і необхідності заборони її як явища, що стримує соціальний прогрес;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як спеціальна сфера виокремлене забезпечення рівних прав і можливостей жінок і чоловіків;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визнання ґендерної політики як державної і визначення її восьми напрямів;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підкреслення ролі і значення забезпечення реальних можливостей для досягнення ґендерної рівності;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визначення механізму забезпечення рівних прав і можливостей жінок і чоловіків: системи органів, установ і організацій, наділених повноваженнями щодо забезпечення рівних прав і можливостей статей;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акцентування уваги на значенні утворення спеціалізованого центрального органу виконавчої влади з питань забезпечення рівних прав та можливостей жінок і чоловіків й окреслення його компетенції;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• відповідальність за порушення законодавства України про забезпечення рівних прав і можливостей жінок і чоловіків;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постановка питання про введення спеціальних тимчасових заходів з метою створення рівних можливостей для статей і просування ґендерної рівності у специфічних сферах соціального життя, де виявляється дисбаланс щодо представленості жінок і чоловіків або нерівний статус осіб однієї із статей.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Закон відіграє важливу роль у реконструюванні способу життя українського суспільства і державного будівництва, діяльності державних і громадських інститутів.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демократичного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засвідчено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низкою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Варто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помітного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осмисленні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проблематики.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істотні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законодавчій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: створено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 перших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яка внесла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до Основного закону,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задекларувавши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005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торкаються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21, 24, 51.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присвячено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подоланню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чоловіками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громадсько-політичній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культурній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здобутті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винагороді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заходами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встановленням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пенсійних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 материнством;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правовим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моральною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материнства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оплачуваних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вагітним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матерям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Україна ратифікувала Конвенцію про ліквідацію всіх форм дискримінації щодо жінок у 1978 році, що є міжнародно-правовим підґрунтям забезпечення рівності жінок і чоловіків. Базовими документами формування політики з питань жінок в Україні стали: Декларація про загальні засади державної політики України стосовно сім’ї та жінок і Концепція державної сімейної політики. Верховна Рада ухвалила низку законів, що мають регулювати суспільні відносини і забезпечити подолання дискримінації за ознакою статі шляхом урахування ґендерних інтересів різних соціальних категорій і ґендерних норм міжнародного права. Це, зокрема, Закон України </w:t>
      </w:r>
      <w:r w:rsidRPr="00A300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«Про забезпечення рівних прав і можливостей жінок та чоловіків» (2005 р.), Сімейний кодекс України, Кримінальний кодекс України і Кодекс законів про працю України, закони «Про попередження насильства в сім’ї» (2001 р.), «Про обов’язкове державне соціальне страхування на випадок безробіття» (2000 р.), «Про зайнятість населення» (2000 р.), «Про державну допомогу сім’ям з дітьми» (2001 р.), «Про загальнообов’язкове державне соціальне страхування у зв’язку з тимчасовою втратою працездатності й витратами, зумовленими народженням і похованням» (2001 р.), Указ Президента України «Про вдосконалення роботи центральних і місцевих органів виконавчої влади щодо забезпечення рівних прав і можливостей жінок і чоловіків» (2005 р.) та інші. </w:t>
      </w:r>
      <w:r w:rsidRPr="00A3005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квітні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2008 року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Закон «Про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Там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конституційні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вони є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перед законом.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материнство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батьківство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охороняються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державою (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51). Але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конституційні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реалізовані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усій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практичного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інституційних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норм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уряд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переконаний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є основою демократичного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передумовою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підписала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визнала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найефективнішим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взяла на себе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8 вересня 2005 р.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Закон № 2866-IV «Про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підписано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Указ Президента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№ 1135/2005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26 липня 2005 р. «Про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30050">
        <w:rPr>
          <w:rFonts w:ascii="Times New Roman" w:hAnsi="Times New Roman" w:cs="Times New Roman"/>
          <w:b/>
          <w:sz w:val="28"/>
          <w:szCs w:val="28"/>
          <w:lang w:val="uk-UA"/>
        </w:rPr>
        <w:t>Підзаконні нормативні  акти з  гендерної рівності</w:t>
      </w:r>
    </w:p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050"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2006 р.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затвердив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до 2010 року. 5 вересня 2007 року при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Міжвідомчу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раду з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демографії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r w:rsidRPr="00A30050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людьми.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2007 року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видано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відомствах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та спорту,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та науки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туризму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радіомовлення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департамент статистики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A3005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консультант/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радник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члени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ради.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стандартну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методологію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ключового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діяльност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r w:rsidRPr="00A3005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2008 р. Уряд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прийняв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прорив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», до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включено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0050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r w:rsidRPr="00A300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створено не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робота над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проблематикою там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розпочалась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прав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надавала членам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суттєву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методологічну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бракує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інституційних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міністерських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незрозумілим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абсолютно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ґендерних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3005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начальники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до складу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консультанти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рядових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тренінгу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семінару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часто є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не є членами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вони часто не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про свою роль у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тренінгу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тема є для них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незнайомою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3005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30050">
        <w:rPr>
          <w:rFonts w:ascii="Times New Roman" w:hAnsi="Times New Roman" w:cs="Times New Roman"/>
          <w:sz w:val="28"/>
          <w:szCs w:val="28"/>
        </w:rPr>
        <w:t xml:space="preserve"> й тому</w:t>
      </w:r>
    </w:p>
    <w:bookmarkEnd w:id="0"/>
    <w:p w:rsidR="00A30050" w:rsidRPr="00A30050" w:rsidRDefault="00A30050" w:rsidP="00A3005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30050" w:rsidRPr="00A3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50"/>
    <w:rsid w:val="00301096"/>
    <w:rsid w:val="00A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1087"/>
  <w15:chartTrackingRefBased/>
  <w15:docId w15:val="{4DBBC7AA-12F8-4253-9394-437DE966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2023-09-09T20:01:00Z</dcterms:created>
  <dcterms:modified xsi:type="dcterms:W3CDTF">2023-09-09T20:07:00Z</dcterms:modified>
</cp:coreProperties>
</file>