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ADA" w:rsidRPr="0019241C" w:rsidRDefault="00C10ADA" w:rsidP="00C10ADA">
      <w:pPr>
        <w:spacing w:after="240" w:line="288" w:lineRule="auto"/>
        <w:jc w:val="center"/>
        <w:rPr>
          <w:rFonts w:ascii="Times New Roman" w:hAnsi="Times New Roman"/>
          <w:b/>
          <w:spacing w:val="4"/>
          <w:sz w:val="28"/>
          <w:szCs w:val="28"/>
          <w:lang w:eastAsia="ru-RU"/>
        </w:rPr>
      </w:pPr>
      <w:r w:rsidRPr="0019241C">
        <w:rPr>
          <w:rFonts w:ascii="Times New Roman" w:hAnsi="Times New Roman"/>
          <w:b/>
          <w:sz w:val="28"/>
          <w:szCs w:val="28"/>
        </w:rPr>
        <w:t xml:space="preserve">ТЕМА № 1. </w:t>
      </w:r>
      <w:r w:rsidRPr="001924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ОСНОВНІ СКЛАДОВІ ЕКОЛОГІЧНОГО МОНІТОРИНГУ АГРОЛАНДШАФТІВ</w:t>
      </w:r>
      <w:r w:rsidRPr="0019241C">
        <w:rPr>
          <w:rFonts w:ascii="Times New Roman" w:hAnsi="Times New Roman"/>
          <w:b/>
          <w:sz w:val="28"/>
          <w:szCs w:val="28"/>
        </w:rPr>
        <w:t xml:space="preserve"> </w:t>
      </w:r>
    </w:p>
    <w:p w:rsidR="00C10ADA" w:rsidRPr="0019241C" w:rsidRDefault="00C10ADA" w:rsidP="00C10A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b/>
          <w:sz w:val="28"/>
          <w:szCs w:val="28"/>
          <w:lang w:eastAsia="ru-RU"/>
        </w:rPr>
        <w:t>Мета:</w:t>
      </w: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засвоїти систему комплексного екологічного моніторингу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>агроландшафтів</w:t>
      </w:r>
      <w:proofErr w:type="spellEnd"/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країни та ознайомитись із основними його складовими.</w:t>
      </w:r>
    </w:p>
    <w:p w:rsidR="00C10ADA" w:rsidRPr="0019241C" w:rsidRDefault="00C10ADA" w:rsidP="00C10A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9241C">
        <w:rPr>
          <w:rFonts w:ascii="Times New Roman" w:hAnsi="Times New Roman"/>
          <w:b/>
          <w:sz w:val="28"/>
          <w:szCs w:val="28"/>
          <w:lang w:eastAsia="ru-RU"/>
        </w:rPr>
        <w:t xml:space="preserve">Необхідні матеріали та обладнання:  </w:t>
      </w: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таблиці,  рисунки, конспект лекцій,  </w:t>
      </w:r>
      <w:r w:rsidRPr="0019241C">
        <w:rPr>
          <w:rFonts w:ascii="Times New Roman" w:hAnsi="Times New Roman"/>
          <w:sz w:val="28"/>
          <w:szCs w:val="28"/>
          <w:lang w:eastAsia="ru-RU"/>
        </w:rPr>
        <w:t>інформаційні ресурси мережі Інтернет.</w:t>
      </w:r>
    </w:p>
    <w:p w:rsidR="00C10ADA" w:rsidRPr="0019241C" w:rsidRDefault="00C10ADA" w:rsidP="00C10ADA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241C">
        <w:rPr>
          <w:rFonts w:ascii="Times New Roman" w:hAnsi="Times New Roman"/>
          <w:b/>
          <w:sz w:val="28"/>
          <w:szCs w:val="28"/>
          <w:lang w:eastAsia="ru-RU"/>
        </w:rPr>
        <w:t>ТЕОРЕТИЧНІ ВІДОМОСТІ</w:t>
      </w:r>
    </w:p>
    <w:p w:rsidR="00C10ADA" w:rsidRPr="00983DD1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 </w:t>
      </w:r>
      <w:r w:rsidRPr="00983DD1">
        <w:rPr>
          <w:rFonts w:ascii="Times New Roman" w:hAnsi="Times New Roman"/>
          <w:spacing w:val="-6"/>
          <w:sz w:val="28"/>
          <w:szCs w:val="28"/>
        </w:rPr>
        <w:t xml:space="preserve">За  оцінкою  фахівців  різних  наукових  напрямів,  зокрема  медиків, екологів, економістів, соціологів, нині близько 20% населення регіону (в  тому  числі  15%  дітей)  потребує  якісних  екологічно безпечних (біологічно повноцінних) продуктів харчування. Щоб вирішити такі нагальні завдання, необхідно  визначити  земельні  угіддя  та  господарства,  які  будуть  придатні  для вирощування якісних, екологічно безпечних  урожаїв  сільськогосподарських  культур. </w:t>
      </w:r>
    </w:p>
    <w:p w:rsidR="00C10ADA" w:rsidRPr="00983DD1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983DD1">
        <w:rPr>
          <w:rFonts w:ascii="Times New Roman" w:hAnsi="Times New Roman"/>
          <w:spacing w:val="-6"/>
          <w:sz w:val="28"/>
          <w:szCs w:val="28"/>
        </w:rPr>
        <w:t xml:space="preserve">Першочерговим  етапом щодо  вирішення  цього  питання  є  проведення комплексного  </w:t>
      </w:r>
      <w:r w:rsidRPr="00983DD1">
        <w:rPr>
          <w:rFonts w:ascii="Times New Roman" w:hAnsi="Times New Roman"/>
          <w:i/>
          <w:spacing w:val="-6"/>
          <w:sz w:val="28"/>
          <w:szCs w:val="28"/>
        </w:rPr>
        <w:t>екологічного  моніторингу</w:t>
      </w:r>
      <w:r w:rsidRPr="00983DD1">
        <w:rPr>
          <w:rFonts w:ascii="Times New Roman" w:hAnsi="Times New Roman"/>
          <w:spacing w:val="-6"/>
          <w:sz w:val="28"/>
          <w:szCs w:val="28"/>
        </w:rPr>
        <w:t xml:space="preserve"> –  науково-інформаційної  системи спостереження,  комплексної  екологічної  оцінки  </w:t>
      </w:r>
      <w:proofErr w:type="spellStart"/>
      <w:r w:rsidRPr="00983DD1">
        <w:rPr>
          <w:rFonts w:ascii="Times New Roman" w:hAnsi="Times New Roman"/>
          <w:spacing w:val="-6"/>
          <w:sz w:val="28"/>
          <w:szCs w:val="28"/>
        </w:rPr>
        <w:t>агроландшафтів</w:t>
      </w:r>
      <w:proofErr w:type="spellEnd"/>
      <w:r w:rsidRPr="00983DD1">
        <w:rPr>
          <w:rFonts w:ascii="Times New Roman" w:hAnsi="Times New Roman"/>
          <w:spacing w:val="-6"/>
          <w:sz w:val="28"/>
          <w:szCs w:val="28"/>
        </w:rPr>
        <w:t xml:space="preserve">  і </w:t>
      </w:r>
      <w:proofErr w:type="spellStart"/>
      <w:r w:rsidRPr="00983DD1">
        <w:rPr>
          <w:rFonts w:ascii="Times New Roman" w:hAnsi="Times New Roman"/>
          <w:spacing w:val="-6"/>
          <w:sz w:val="28"/>
          <w:szCs w:val="28"/>
        </w:rPr>
        <w:t>агроекосистем</w:t>
      </w:r>
      <w:proofErr w:type="spellEnd"/>
      <w:r w:rsidRPr="00983DD1">
        <w:rPr>
          <w:rFonts w:ascii="Times New Roman" w:hAnsi="Times New Roman"/>
          <w:spacing w:val="-6"/>
          <w:sz w:val="28"/>
          <w:szCs w:val="28"/>
        </w:rPr>
        <w:t xml:space="preserve">  з  урахуванням  абіотичних,  біотичних  і  соціально-економічних чинників,  контролю  й  прогнозування  змін  родючості  ґрунтів,  їх  екологічного стану з метою управління продуктивністю та збереження </w:t>
      </w:r>
      <w:proofErr w:type="spellStart"/>
      <w:r w:rsidRPr="00983DD1">
        <w:rPr>
          <w:rFonts w:ascii="Times New Roman" w:hAnsi="Times New Roman"/>
          <w:spacing w:val="-6"/>
          <w:sz w:val="28"/>
          <w:szCs w:val="28"/>
        </w:rPr>
        <w:t>агробіорізноманіття</w:t>
      </w:r>
      <w:proofErr w:type="spellEnd"/>
      <w:r w:rsidRPr="00983DD1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Важливим  при  здійсненні екологічного  моніторингу 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 є  поєднання  двох  тісно  пов’язаних  між собою  напрямів –  науково-методичного  та   безпосередньо  виробничого.  Функції   їх  доцільно підпорядкувати  мережі  спеціалізованих  науково-дослідних  і  навчальних лабораторій,  різних  закладів,  відповідних  центрів,  які  розміщені  у  певній ґрунтово-кліматичній  зоні,  що  оснащені  відповідною  матеріально-технічною базою  та забезпечені  висококваліфікованими  галузевими фахівцями. </w:t>
      </w:r>
    </w:p>
    <w:p w:rsidR="00C10ADA" w:rsidRPr="0019241C" w:rsidRDefault="00C10ADA" w:rsidP="00C10AD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Задля  забезпечення  сталого  (збалансованого,  стійкого)  розвитку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агроекосистеми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, а також з урахуванням специфіки  природокористування,  комплексний екологічний моніторинг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 включає в себе цілу низку окремих компонентів за такими напрямами, критеріями й  параметрами: </w:t>
      </w:r>
    </w:p>
    <w:p w:rsidR="00C10ADA" w:rsidRPr="0019241C" w:rsidRDefault="00C10ADA" w:rsidP="00C10AD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9241C">
        <w:rPr>
          <w:rFonts w:ascii="Times New Roman" w:hAnsi="Times New Roman"/>
          <w:i/>
          <w:sz w:val="28"/>
          <w:szCs w:val="28"/>
        </w:rPr>
        <w:t>Екомоніторинг</w:t>
      </w:r>
      <w:proofErr w:type="spellEnd"/>
      <w:r w:rsidRPr="0019241C">
        <w:rPr>
          <w:rFonts w:ascii="Times New Roman" w:hAnsi="Times New Roman"/>
          <w:i/>
          <w:sz w:val="28"/>
          <w:szCs w:val="28"/>
        </w:rPr>
        <w:t xml:space="preserve">  земельної  власності  й  землекористування</w:t>
      </w:r>
      <w:r w:rsidRPr="0019241C">
        <w:rPr>
          <w:rFonts w:ascii="Times New Roman" w:hAnsi="Times New Roman"/>
          <w:sz w:val="28"/>
          <w:szCs w:val="28"/>
        </w:rPr>
        <w:t xml:space="preserve"> – визначення складу  та структури  земельних  угідь:  ступеня  розораності,  частки лісистості, відсотка заповідності території (загальної та суворої), господарського та фізіологічного стану ґрунтового покриву, його екологічної стійкості й ураженості ерозійними  динамічними  процесами  (яружна  й  площинна  ерозія,  дефляція), підтоплення  внаслідок  техногенних  процесів. Окрім того, до уваги беруться підкислення, </w:t>
      </w:r>
      <w:proofErr w:type="spellStart"/>
      <w:r w:rsidRPr="0019241C">
        <w:rPr>
          <w:rFonts w:ascii="Times New Roman" w:hAnsi="Times New Roman"/>
          <w:sz w:val="28"/>
          <w:szCs w:val="28"/>
        </w:rPr>
        <w:t>карстування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,  зсуви,  різні  абразії,  надмірне  засолення, </w:t>
      </w: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просідання, перезволоження, заболочення, підкислення [2].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41C">
        <w:rPr>
          <w:rFonts w:ascii="Times New Roman" w:hAnsi="Times New Roman"/>
          <w:i/>
          <w:sz w:val="28"/>
          <w:szCs w:val="28"/>
        </w:rPr>
        <w:lastRenderedPageBreak/>
        <w:t>Фітобіотичний</w:t>
      </w:r>
      <w:proofErr w:type="spellEnd"/>
      <w:r w:rsidRPr="0019241C">
        <w:rPr>
          <w:rFonts w:ascii="Times New Roman" w:hAnsi="Times New Roman"/>
          <w:i/>
          <w:sz w:val="28"/>
          <w:szCs w:val="28"/>
        </w:rPr>
        <w:t xml:space="preserve">  моніторинг</w:t>
      </w:r>
      <w:r w:rsidRPr="0019241C">
        <w:rPr>
          <w:rFonts w:ascii="Times New Roman" w:hAnsi="Times New Roman"/>
          <w:sz w:val="28"/>
          <w:szCs w:val="28"/>
        </w:rPr>
        <w:t xml:space="preserve"> – аналіз і визначення </w:t>
      </w:r>
      <w:proofErr w:type="spellStart"/>
      <w:r w:rsidRPr="0019241C">
        <w:rPr>
          <w:rFonts w:ascii="Times New Roman" w:hAnsi="Times New Roman"/>
          <w:sz w:val="28"/>
          <w:szCs w:val="28"/>
        </w:rPr>
        <w:t>фітобіотичного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 видового  складу,  проективне покриття   рослинністю,  її  біомаса, екологічна, </w:t>
      </w:r>
      <w:proofErr w:type="spellStart"/>
      <w:r w:rsidRPr="0019241C">
        <w:rPr>
          <w:rFonts w:ascii="Times New Roman" w:hAnsi="Times New Roman"/>
          <w:sz w:val="28"/>
          <w:szCs w:val="28"/>
        </w:rPr>
        <w:t>генезисна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241C">
        <w:rPr>
          <w:rFonts w:ascii="Times New Roman" w:hAnsi="Times New Roman"/>
          <w:sz w:val="28"/>
          <w:szCs w:val="28"/>
        </w:rPr>
        <w:t>таксономічно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-типологічна, біологічна, </w:t>
      </w:r>
      <w:proofErr w:type="spellStart"/>
      <w:r w:rsidRPr="0019241C">
        <w:rPr>
          <w:rFonts w:ascii="Times New Roman" w:hAnsi="Times New Roman"/>
          <w:sz w:val="28"/>
          <w:szCs w:val="28"/>
        </w:rPr>
        <w:t>біоморфологічна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, географічна, </w:t>
      </w:r>
      <w:proofErr w:type="spellStart"/>
      <w:r w:rsidRPr="0019241C">
        <w:rPr>
          <w:rFonts w:ascii="Times New Roman" w:hAnsi="Times New Roman"/>
          <w:sz w:val="28"/>
          <w:szCs w:val="28"/>
        </w:rPr>
        <w:t>созологічна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241C">
        <w:rPr>
          <w:rFonts w:ascii="Times New Roman" w:hAnsi="Times New Roman"/>
          <w:sz w:val="28"/>
          <w:szCs w:val="28"/>
        </w:rPr>
        <w:t>ценотична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241C">
        <w:rPr>
          <w:rFonts w:ascii="Times New Roman" w:hAnsi="Times New Roman"/>
          <w:sz w:val="28"/>
          <w:szCs w:val="28"/>
        </w:rPr>
        <w:t>демологічна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структура </w:t>
      </w:r>
      <w:proofErr w:type="spellStart"/>
      <w:r w:rsidRPr="0019241C">
        <w:rPr>
          <w:rFonts w:ascii="Times New Roman" w:hAnsi="Times New Roman"/>
          <w:sz w:val="28"/>
          <w:szCs w:val="28"/>
        </w:rPr>
        <w:t>фітобіоти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. Підвиди </w:t>
      </w:r>
      <w:proofErr w:type="spellStart"/>
      <w:r w:rsidRPr="0019241C">
        <w:rPr>
          <w:rFonts w:ascii="Times New Roman" w:hAnsi="Times New Roman"/>
          <w:sz w:val="28"/>
          <w:szCs w:val="28"/>
        </w:rPr>
        <w:t>фітобіотичного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моніторингу: фітосанітарний, карантинний,  </w:t>
      </w:r>
      <w:proofErr w:type="spellStart"/>
      <w:r w:rsidRPr="0019241C">
        <w:rPr>
          <w:rFonts w:ascii="Times New Roman" w:hAnsi="Times New Roman"/>
          <w:sz w:val="28"/>
          <w:szCs w:val="28"/>
        </w:rPr>
        <w:t>фітоіндикаційний</w:t>
      </w:r>
      <w:proofErr w:type="spellEnd"/>
      <w:r w:rsidRPr="0019241C">
        <w:rPr>
          <w:rFonts w:ascii="Times New Roman" w:hAnsi="Times New Roman"/>
          <w:sz w:val="28"/>
          <w:szCs w:val="28"/>
        </w:rPr>
        <w:t>.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i/>
          <w:sz w:val="28"/>
          <w:szCs w:val="28"/>
        </w:rPr>
        <w:t>Фітосанітарний</w:t>
      </w:r>
      <w:r w:rsidRPr="0019241C">
        <w:rPr>
          <w:rFonts w:ascii="Times New Roman" w:hAnsi="Times New Roman"/>
          <w:sz w:val="28"/>
          <w:szCs w:val="28"/>
        </w:rPr>
        <w:t xml:space="preserve"> – визначає  кількість  або статус  шкідливих організмів,  які  занесені  чи  можуть  бути  потенційно  занесені  на  територію регіону шляхом ввезення об’єктів регулювання.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i/>
          <w:sz w:val="28"/>
          <w:szCs w:val="28"/>
        </w:rPr>
        <w:t xml:space="preserve">Карантинний </w:t>
      </w:r>
      <w:r w:rsidRPr="0019241C">
        <w:rPr>
          <w:rFonts w:ascii="Times New Roman" w:hAnsi="Times New Roman"/>
          <w:sz w:val="28"/>
          <w:szCs w:val="28"/>
        </w:rPr>
        <w:t>– спрямований на попередження привнесення і розповсюдження шкідливих, патогенних організмів та здійснення обов’язкового контролю за ними з метою повної або часткової ліквідації або локалізації.  Він передбачає здійснення карантинних дій і дотримання санітарних і захисних заходів під час вирощування, зберігання, перевезення чи транспортування та розповсюдження продукції й інтродукції (</w:t>
      </w:r>
      <w:proofErr w:type="spellStart"/>
      <w:r w:rsidRPr="0019241C">
        <w:rPr>
          <w:rFonts w:ascii="Times New Roman" w:hAnsi="Times New Roman"/>
          <w:sz w:val="28"/>
          <w:szCs w:val="28"/>
        </w:rPr>
        <w:t>реінтродукції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) організмів.  Часто використовують такий напрям як захист фітопатогенний. 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41C">
        <w:rPr>
          <w:rFonts w:ascii="Times New Roman" w:hAnsi="Times New Roman"/>
          <w:i/>
          <w:sz w:val="28"/>
          <w:szCs w:val="28"/>
        </w:rPr>
        <w:t>Фітоіндикаційний</w:t>
      </w:r>
      <w:proofErr w:type="spellEnd"/>
      <w:r w:rsidRPr="0019241C">
        <w:rPr>
          <w:rFonts w:ascii="Times New Roman" w:hAnsi="Times New Roman"/>
          <w:i/>
          <w:sz w:val="28"/>
          <w:szCs w:val="28"/>
        </w:rPr>
        <w:t xml:space="preserve"> </w:t>
      </w:r>
      <w:r w:rsidRPr="0019241C">
        <w:rPr>
          <w:rFonts w:ascii="Times New Roman" w:hAnsi="Times New Roman"/>
          <w:sz w:val="28"/>
          <w:szCs w:val="28"/>
        </w:rPr>
        <w:t xml:space="preserve">– достатньо типова й відома система спостережень щодо змін властивостей, анатомо-морфологічних ознак та різних параметрів, а також визначення ступеня ураження рослинних організмів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агроландшафтних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комплексів  антропогенними  й  абіотичними  чинниками.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>Вдалим  прикладом  є  встановлення  рослин-індикаторів  господарського втручання на площах орних земель (</w:t>
      </w:r>
      <w:proofErr w:type="spellStart"/>
      <w:r w:rsidRPr="0019241C">
        <w:rPr>
          <w:rFonts w:ascii="Times New Roman" w:hAnsi="Times New Roman"/>
          <w:sz w:val="28"/>
          <w:szCs w:val="28"/>
        </w:rPr>
        <w:t>фітоіндикатори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: вологи застійної в орному шарі  ґрунту,  перезволоження  його,  початкового  (незначного)  і  значного (сильного)  підкислення,  надлишку  в  ньому  азоту,  належного  й  достатнього  забезпечення  азотом  і  гумусом,  </w:t>
      </w:r>
      <w:proofErr w:type="spellStart"/>
      <w:r w:rsidRPr="0019241C">
        <w:rPr>
          <w:rFonts w:ascii="Times New Roman" w:hAnsi="Times New Roman"/>
          <w:sz w:val="28"/>
          <w:szCs w:val="28"/>
        </w:rPr>
        <w:t>підлуження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 карбонатного  та  ін.),  на  луках  і пасовищах,  </w:t>
      </w:r>
      <w:proofErr w:type="spellStart"/>
      <w:r w:rsidRPr="0019241C">
        <w:rPr>
          <w:rFonts w:ascii="Times New Roman" w:hAnsi="Times New Roman"/>
          <w:sz w:val="28"/>
          <w:szCs w:val="28"/>
        </w:rPr>
        <w:t>фітоіндикація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 шкідливих  патогенних  речовин  у  повітряному середовищі.  Досить  ефективними та  виправданими  </w:t>
      </w:r>
      <w:proofErr w:type="spellStart"/>
      <w:r w:rsidRPr="0019241C">
        <w:rPr>
          <w:rFonts w:ascii="Times New Roman" w:hAnsi="Times New Roman"/>
          <w:sz w:val="28"/>
          <w:szCs w:val="28"/>
        </w:rPr>
        <w:t>біоіндикаторами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 є  біота  ґрунтів  (</w:t>
      </w:r>
      <w:proofErr w:type="spellStart"/>
      <w:r w:rsidRPr="0019241C">
        <w:rPr>
          <w:rFonts w:ascii="Times New Roman" w:hAnsi="Times New Roman"/>
          <w:sz w:val="28"/>
          <w:szCs w:val="28"/>
        </w:rPr>
        <w:t>педобіота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),  особливо  </w:t>
      </w:r>
      <w:proofErr w:type="spellStart"/>
      <w:r w:rsidRPr="0019241C">
        <w:rPr>
          <w:rFonts w:ascii="Times New Roman" w:hAnsi="Times New Roman"/>
          <w:sz w:val="28"/>
          <w:szCs w:val="28"/>
        </w:rPr>
        <w:t>колемболи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 та дощові  черви.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Моніторинг  </w:t>
      </w:r>
      <w:proofErr w:type="spellStart"/>
      <w:r w:rsidRPr="0019241C">
        <w:rPr>
          <w:rFonts w:ascii="Times New Roman" w:hAnsi="Times New Roman"/>
          <w:sz w:val="28"/>
          <w:szCs w:val="28"/>
        </w:rPr>
        <w:t>фітоіндикаційний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охоплює значні  за  розмірами  і площами  території  сільськогосподарських  ландшафтних  комплексів  (фації, урочища,  місцевості),  має  проводитись  у  межах  відповідних  фізико-географічних  одиниць  районування (провінція,  область,  край,  район), а  також  вирізнятись  економічною  ефективністю,  здійснюватися  при  найменших  витратах і забезпечувати прогнозування змін компонентів довкілля (використовуючи  різні види моделювання та прогнозування), які можуть проявитись через певний  період  часу.  У  такому  випадку  доцільно  і  навіть  необхідно  досить  правильно підібрати  як  об’єкт,  так  і  ознаки  (показники,  чинники),  які  будуть  підлягати  реєстрації  при  </w:t>
      </w:r>
      <w:proofErr w:type="spellStart"/>
      <w:r w:rsidRPr="0019241C">
        <w:rPr>
          <w:rFonts w:ascii="Times New Roman" w:hAnsi="Times New Roman"/>
          <w:sz w:val="28"/>
          <w:szCs w:val="28"/>
        </w:rPr>
        <w:t>фітоіндикації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агроекосистем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 й 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 за  допомогою  виду, який дуже чутливий і добре реагує на антропогенні зміни довкілля. 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i/>
          <w:sz w:val="28"/>
          <w:szCs w:val="28"/>
        </w:rPr>
        <w:t>Мікробіологічний моніторинг</w:t>
      </w:r>
      <w:r w:rsidRPr="0019241C">
        <w:rPr>
          <w:rFonts w:ascii="Times New Roman" w:hAnsi="Times New Roman"/>
          <w:sz w:val="28"/>
          <w:szCs w:val="28"/>
        </w:rPr>
        <w:t xml:space="preserve"> – функційна структура мікробних ценозів ґрунту; прогнозування стратегічної спрямованості мікробіологічних процесів у ризосфері рослин, що зумовлюють деградацію, відновлення або ступінь стійкості ґрунтового комплексу при застосуванні різних агрозаходів; визначення </w:t>
      </w:r>
      <w:r w:rsidRPr="0019241C">
        <w:rPr>
          <w:rFonts w:ascii="Times New Roman" w:hAnsi="Times New Roman"/>
          <w:sz w:val="28"/>
          <w:szCs w:val="28"/>
        </w:rPr>
        <w:lastRenderedPageBreak/>
        <w:t xml:space="preserve">мікробіологічних показників для конструювання моделей збалансованих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агроекосистем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та їх формування.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i/>
          <w:sz w:val="28"/>
          <w:szCs w:val="28"/>
        </w:rPr>
        <w:t>Моніторинг фітовірусологічний</w:t>
      </w:r>
      <w:r w:rsidRPr="0019241C">
        <w:rPr>
          <w:rFonts w:ascii="Times New Roman" w:hAnsi="Times New Roman"/>
          <w:sz w:val="28"/>
          <w:szCs w:val="28"/>
        </w:rPr>
        <w:t xml:space="preserve"> – визначення структури та функціонування </w:t>
      </w:r>
      <w:proofErr w:type="spellStart"/>
      <w:r w:rsidRPr="0019241C">
        <w:rPr>
          <w:rFonts w:ascii="Times New Roman" w:hAnsi="Times New Roman"/>
          <w:sz w:val="28"/>
          <w:szCs w:val="28"/>
        </w:rPr>
        <w:t>фітовірусного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ценозу; вивчення і прогнозування різноманітних процесів трансформації, перетворень і змін </w:t>
      </w:r>
      <w:proofErr w:type="spellStart"/>
      <w:r w:rsidRPr="0019241C">
        <w:rPr>
          <w:rFonts w:ascii="Times New Roman" w:hAnsi="Times New Roman"/>
          <w:sz w:val="28"/>
          <w:szCs w:val="28"/>
        </w:rPr>
        <w:t>фітовірусного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стану ґрунтового покриву; формування  та функціонування  </w:t>
      </w:r>
      <w:proofErr w:type="spellStart"/>
      <w:r>
        <w:rPr>
          <w:rFonts w:ascii="Times New Roman" w:hAnsi="Times New Roman"/>
          <w:sz w:val="28"/>
          <w:szCs w:val="28"/>
        </w:rPr>
        <w:t>фітовірусного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ценозу  збалансованих  агроекологічних систем.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i/>
          <w:sz w:val="28"/>
          <w:szCs w:val="28"/>
        </w:rPr>
        <w:t>Моніторинг популяційно-генетичний</w:t>
      </w:r>
      <w:r w:rsidRPr="0019241C">
        <w:rPr>
          <w:rFonts w:ascii="Times New Roman" w:hAnsi="Times New Roman"/>
          <w:sz w:val="28"/>
          <w:szCs w:val="28"/>
        </w:rPr>
        <w:t xml:space="preserve"> – аналіз та оцінка можливої або потенційної біологічної небезпеки змін генетичної різноманітності сортів і порід; аналіз і визначення впливу ГМО (генетично-модифікованих організмів) на утворення та функціонування збалансованих агроекологічних систем.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i/>
          <w:sz w:val="28"/>
          <w:szCs w:val="28"/>
        </w:rPr>
        <w:t>Агрохімічний моніторинг</w:t>
      </w:r>
      <w:r w:rsidRPr="0019241C">
        <w:rPr>
          <w:rFonts w:ascii="Times New Roman" w:hAnsi="Times New Roman"/>
          <w:sz w:val="28"/>
          <w:szCs w:val="28"/>
        </w:rPr>
        <w:t xml:space="preserve"> –</w:t>
      </w:r>
      <w:r w:rsidRPr="000519A0">
        <w:rPr>
          <w:rFonts w:ascii="Times New Roman" w:hAnsi="Times New Roman"/>
          <w:sz w:val="28"/>
          <w:szCs w:val="28"/>
        </w:rPr>
        <w:t xml:space="preserve"> </w:t>
      </w:r>
      <w:r w:rsidRPr="0019241C">
        <w:rPr>
          <w:rFonts w:ascii="Times New Roman" w:hAnsi="Times New Roman"/>
          <w:sz w:val="28"/>
          <w:szCs w:val="28"/>
        </w:rPr>
        <w:t xml:space="preserve">аналіз і визначення фактичного й потенційного рівнів поживності та родючості ґрунтів за показниками та критеріями: фізичного стану: повітропроникність і </w:t>
      </w:r>
      <w:proofErr w:type="spellStart"/>
      <w:r w:rsidRPr="0019241C">
        <w:rPr>
          <w:rFonts w:ascii="Times New Roman" w:hAnsi="Times New Roman"/>
          <w:sz w:val="28"/>
          <w:szCs w:val="28"/>
        </w:rPr>
        <w:t>вологопроникність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,  щільність тощо; хімічного стану: гумусний  стан  ґрунту,  наявність  поживних  основних  речовин  та  їх  кількість  (обсяг  азоту,  який  легко  гідролізується,  </w:t>
      </w:r>
      <w:proofErr w:type="spellStart"/>
      <w:r w:rsidRPr="0019241C">
        <w:rPr>
          <w:rFonts w:ascii="Times New Roman" w:hAnsi="Times New Roman"/>
          <w:sz w:val="28"/>
          <w:szCs w:val="28"/>
        </w:rPr>
        <w:t>нітрифікаційна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 здатність, мг NO</w:t>
      </w:r>
      <w:r w:rsidRPr="0019241C">
        <w:rPr>
          <w:rFonts w:ascii="Times New Roman" w:hAnsi="Times New Roman"/>
          <w:sz w:val="28"/>
          <w:szCs w:val="28"/>
          <w:vertAlign w:val="subscript"/>
        </w:rPr>
        <w:t>3</w:t>
      </w:r>
      <w:r w:rsidRPr="0019241C">
        <w:rPr>
          <w:rFonts w:ascii="Times New Roman" w:hAnsi="Times New Roman"/>
          <w:sz w:val="28"/>
          <w:szCs w:val="28"/>
        </w:rPr>
        <w:t xml:space="preserve">/кг ґрунту, наявність і кількість обмінного калію, рухомого фосфору) та вміст мікроелементів (кобальту, молібдену, бору, сірки, марганцю, цинку, міді);  фізико-хімічного  стану:  показники  кислотності  (актуальної,  гідролітичної,  обмінної),  </w:t>
      </w:r>
      <w:proofErr w:type="spellStart"/>
      <w:r w:rsidRPr="0019241C">
        <w:rPr>
          <w:rFonts w:ascii="Times New Roman" w:hAnsi="Times New Roman"/>
          <w:sz w:val="28"/>
          <w:szCs w:val="28"/>
        </w:rPr>
        <w:t>солончакуватості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;  засоленості  (ступінь  і тип засолення), суми ввібраних основ, біотичного стану: наявність  </w:t>
      </w:r>
      <w:proofErr w:type="spellStart"/>
      <w:r w:rsidRPr="0019241C">
        <w:rPr>
          <w:rFonts w:ascii="Times New Roman" w:hAnsi="Times New Roman"/>
          <w:sz w:val="28"/>
          <w:szCs w:val="28"/>
        </w:rPr>
        <w:t>макробіоти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(різноманітних комах та їх личинок, багатоніжок,</w:t>
      </w:r>
      <w:r w:rsidRPr="000519A0">
        <w:rPr>
          <w:rFonts w:ascii="Times New Roman" w:hAnsi="Times New Roman"/>
          <w:sz w:val="28"/>
          <w:szCs w:val="28"/>
        </w:rPr>
        <w:t xml:space="preserve"> </w:t>
      </w:r>
      <w:r w:rsidRPr="0019241C">
        <w:rPr>
          <w:rFonts w:ascii="Times New Roman" w:hAnsi="Times New Roman"/>
          <w:sz w:val="28"/>
          <w:szCs w:val="28"/>
        </w:rPr>
        <w:t>дощових  черв</w:t>
      </w:r>
      <w:r>
        <w:rPr>
          <w:rFonts w:ascii="Times New Roman" w:hAnsi="Times New Roman"/>
          <w:sz w:val="28"/>
          <w:szCs w:val="28"/>
        </w:rPr>
        <w:t>’яків</w:t>
      </w:r>
      <w:r w:rsidRPr="0019241C">
        <w:rPr>
          <w:rFonts w:ascii="Times New Roman" w:hAnsi="Times New Roman"/>
          <w:sz w:val="28"/>
          <w:szCs w:val="28"/>
        </w:rPr>
        <w:t xml:space="preserve">,  коренів  рослин), едафон  ґрунту, наявність </w:t>
      </w:r>
      <w:proofErr w:type="spellStart"/>
      <w:r w:rsidRPr="0019241C">
        <w:rPr>
          <w:rFonts w:ascii="Times New Roman" w:hAnsi="Times New Roman"/>
          <w:sz w:val="28"/>
          <w:szCs w:val="28"/>
        </w:rPr>
        <w:t>мезобіоти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(нематод,  кліщів,</w:t>
      </w:r>
      <w:r w:rsidRPr="00051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41C">
        <w:rPr>
          <w:rFonts w:ascii="Times New Roman" w:hAnsi="Times New Roman"/>
          <w:sz w:val="28"/>
          <w:szCs w:val="28"/>
        </w:rPr>
        <w:t>ногохвісток</w:t>
      </w:r>
      <w:proofErr w:type="spellEnd"/>
      <w:r w:rsidRPr="0019241C">
        <w:rPr>
          <w:rFonts w:ascii="Times New Roman" w:hAnsi="Times New Roman"/>
          <w:sz w:val="28"/>
          <w:szCs w:val="28"/>
        </w:rPr>
        <w:t>),</w:t>
      </w:r>
      <w:r w:rsidRPr="00051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41C">
        <w:rPr>
          <w:rFonts w:ascii="Times New Roman" w:hAnsi="Times New Roman"/>
          <w:sz w:val="28"/>
          <w:szCs w:val="28"/>
        </w:rPr>
        <w:t>мікробіоти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(найпростіших, бактерій, ґрунтових  водоростей, грибів тощо), ґрунтових тварин екологічних  груп  за  середовищем  існування і способом пересування (</w:t>
      </w:r>
      <w:proofErr w:type="spellStart"/>
      <w:r w:rsidRPr="0019241C">
        <w:rPr>
          <w:rFonts w:ascii="Times New Roman" w:hAnsi="Times New Roman"/>
          <w:sz w:val="28"/>
          <w:szCs w:val="28"/>
        </w:rPr>
        <w:t>геобіонтів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241C">
        <w:rPr>
          <w:rFonts w:ascii="Times New Roman" w:hAnsi="Times New Roman"/>
          <w:sz w:val="28"/>
          <w:szCs w:val="28"/>
        </w:rPr>
        <w:t>геофілів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241C">
        <w:rPr>
          <w:rFonts w:ascii="Times New Roman" w:hAnsi="Times New Roman"/>
          <w:sz w:val="28"/>
          <w:szCs w:val="28"/>
        </w:rPr>
        <w:t>геоексенів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); біохімічного стану (якість і безпека сільгосппродукції). Важливим є визначення щорічної та перспективної потреби сільськогосподарських угідь у хімічних </w:t>
      </w:r>
      <w:proofErr w:type="spellStart"/>
      <w:r w:rsidRPr="0019241C">
        <w:rPr>
          <w:rFonts w:ascii="Times New Roman" w:hAnsi="Times New Roman"/>
          <w:sz w:val="28"/>
          <w:szCs w:val="28"/>
        </w:rPr>
        <w:t>меліорантах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(особливо у  внесенні  вапна  та  гіпсу  в  ґрунти),  здійснення  ґрунтово-меліоративного  (агрохімічного) районування, визначення потреб у мікроелементах, органічних  і  мінеральних  добривах,  для  всіх  рівнів  господарювання,  проведення  бонітування  і  встановлення  ступеня  достатньо ефективної  родючості ґрунтів.</w:t>
      </w:r>
    </w:p>
    <w:p w:rsidR="00C10ADA" w:rsidRPr="000519A0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0519A0">
        <w:rPr>
          <w:rFonts w:ascii="Times New Roman" w:hAnsi="Times New Roman"/>
          <w:i/>
          <w:spacing w:val="-6"/>
          <w:sz w:val="28"/>
          <w:szCs w:val="28"/>
        </w:rPr>
        <w:t>Гідроекологічний</w:t>
      </w:r>
      <w:proofErr w:type="spellEnd"/>
      <w:r w:rsidRPr="000519A0">
        <w:rPr>
          <w:rFonts w:ascii="Times New Roman" w:hAnsi="Times New Roman"/>
          <w:i/>
          <w:spacing w:val="-6"/>
          <w:sz w:val="28"/>
          <w:szCs w:val="28"/>
        </w:rPr>
        <w:t xml:space="preserve"> моніторинг</w:t>
      </w:r>
      <w:r w:rsidRPr="000519A0">
        <w:rPr>
          <w:rFonts w:ascii="Times New Roman" w:hAnsi="Times New Roman"/>
          <w:spacing w:val="-6"/>
          <w:sz w:val="28"/>
          <w:szCs w:val="28"/>
        </w:rPr>
        <w:t xml:space="preserve"> – оцінка, спостереження та вивчення  процесів  забруднення  й  самоочищення,  аналіз  екологічного  стану  та  реакції водних ландшафтних комплексів, що належать до сільськогосподарських систем, на  різні  антропогенні  чинники,  пов’язані  з діяльністю  сільських  господарств;  здійснення  прогнозу  та  визначення  динаміки  екологічних  змін  водних  комплексів  на  основі  розробки  та  використання  принципів  і  підходів  моделювання відповідно до різних видів, типів і джерел забруднення, зокрема  </w:t>
      </w:r>
      <w:proofErr w:type="spellStart"/>
      <w:r w:rsidRPr="000519A0">
        <w:rPr>
          <w:rFonts w:ascii="Times New Roman" w:hAnsi="Times New Roman"/>
          <w:spacing w:val="-6"/>
          <w:sz w:val="28"/>
          <w:szCs w:val="28"/>
        </w:rPr>
        <w:t>ацидифікації</w:t>
      </w:r>
      <w:proofErr w:type="spellEnd"/>
      <w:r w:rsidRPr="000519A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0519A0">
        <w:rPr>
          <w:rFonts w:ascii="Times New Roman" w:hAnsi="Times New Roman"/>
          <w:spacing w:val="-6"/>
          <w:sz w:val="28"/>
          <w:szCs w:val="28"/>
        </w:rPr>
        <w:t>евтрофікації</w:t>
      </w:r>
      <w:proofErr w:type="spellEnd"/>
      <w:r w:rsidRPr="000519A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0519A0">
        <w:rPr>
          <w:rFonts w:ascii="Times New Roman" w:hAnsi="Times New Roman"/>
          <w:spacing w:val="-6"/>
          <w:sz w:val="28"/>
          <w:szCs w:val="28"/>
        </w:rPr>
        <w:t>термофікації</w:t>
      </w:r>
      <w:proofErr w:type="spellEnd"/>
      <w:r w:rsidRPr="000519A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0519A0">
        <w:rPr>
          <w:rFonts w:ascii="Times New Roman" w:hAnsi="Times New Roman"/>
          <w:spacing w:val="-6"/>
          <w:sz w:val="28"/>
          <w:szCs w:val="28"/>
        </w:rPr>
        <w:t>токсифікації</w:t>
      </w:r>
      <w:proofErr w:type="spellEnd"/>
      <w:r w:rsidRPr="000519A0">
        <w:rPr>
          <w:rFonts w:ascii="Times New Roman" w:hAnsi="Times New Roman"/>
          <w:spacing w:val="-6"/>
          <w:sz w:val="28"/>
          <w:szCs w:val="28"/>
        </w:rPr>
        <w:t xml:space="preserve">, забруднення радіонуклідами), структури й напрямів використання </w:t>
      </w:r>
      <w:proofErr w:type="spellStart"/>
      <w:r w:rsidRPr="000519A0">
        <w:rPr>
          <w:rFonts w:ascii="Times New Roman" w:hAnsi="Times New Roman"/>
          <w:spacing w:val="-6"/>
          <w:sz w:val="28"/>
          <w:szCs w:val="28"/>
        </w:rPr>
        <w:t>агроландшафту</w:t>
      </w:r>
      <w:proofErr w:type="spellEnd"/>
      <w:r w:rsidRPr="000519A0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C10ADA" w:rsidRPr="000519A0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19241C">
        <w:rPr>
          <w:rFonts w:ascii="Times New Roman" w:hAnsi="Times New Roman"/>
          <w:i/>
          <w:sz w:val="28"/>
          <w:szCs w:val="28"/>
        </w:rPr>
        <w:lastRenderedPageBreak/>
        <w:t>Лісоекологічний</w:t>
      </w:r>
      <w:proofErr w:type="spellEnd"/>
      <w:r w:rsidRPr="0019241C">
        <w:rPr>
          <w:rFonts w:ascii="Times New Roman" w:hAnsi="Times New Roman"/>
          <w:i/>
          <w:sz w:val="28"/>
          <w:szCs w:val="28"/>
        </w:rPr>
        <w:t xml:space="preserve"> моніторинг</w:t>
      </w:r>
      <w:r w:rsidRPr="0019241C">
        <w:rPr>
          <w:rFonts w:ascii="Times New Roman" w:hAnsi="Times New Roman"/>
          <w:sz w:val="28"/>
          <w:szCs w:val="28"/>
        </w:rPr>
        <w:t xml:space="preserve"> – вивчення, спостереження, аналіз процесів забруднення та оцінка екологічного стану й реакції </w:t>
      </w:r>
      <w:proofErr w:type="spellStart"/>
      <w:r w:rsidRPr="0019241C">
        <w:rPr>
          <w:rFonts w:ascii="Times New Roman" w:hAnsi="Times New Roman"/>
          <w:sz w:val="28"/>
          <w:szCs w:val="28"/>
        </w:rPr>
        <w:t>лісоаграрних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комплексів щодо  впливу  низки  антропогенних і природних  чинників,  що  встановлюють  екологічний стан і </w:t>
      </w:r>
      <w:proofErr w:type="spellStart"/>
      <w:r w:rsidRPr="0019241C">
        <w:rPr>
          <w:rFonts w:ascii="Times New Roman" w:hAnsi="Times New Roman"/>
          <w:sz w:val="28"/>
          <w:szCs w:val="28"/>
        </w:rPr>
        <w:t>біопродуктивність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лісових насаджень та здійснення заходів  щодо  збільшення  їхньої  </w:t>
      </w:r>
      <w:proofErr w:type="spellStart"/>
      <w:r w:rsidRPr="0019241C">
        <w:rPr>
          <w:rFonts w:ascii="Times New Roman" w:hAnsi="Times New Roman"/>
          <w:sz w:val="28"/>
          <w:szCs w:val="28"/>
        </w:rPr>
        <w:t>біопродуктивності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. Такий  вид  моніторингу  дає  можливість  при формуванні  штучних  екологічно  стійких  лісових  насаджень  </w:t>
      </w:r>
      <w:r w:rsidRPr="000519A0">
        <w:rPr>
          <w:rFonts w:ascii="Times New Roman" w:hAnsi="Times New Roman"/>
          <w:spacing w:val="-2"/>
          <w:sz w:val="28"/>
          <w:szCs w:val="28"/>
        </w:rPr>
        <w:t xml:space="preserve">з  урахуванням  </w:t>
      </w:r>
      <w:proofErr w:type="spellStart"/>
      <w:r w:rsidRPr="000519A0">
        <w:rPr>
          <w:rFonts w:ascii="Times New Roman" w:hAnsi="Times New Roman"/>
          <w:spacing w:val="-2"/>
          <w:sz w:val="28"/>
          <w:szCs w:val="28"/>
        </w:rPr>
        <w:t>екоумов</w:t>
      </w:r>
      <w:proofErr w:type="spellEnd"/>
      <w:r w:rsidRPr="000519A0">
        <w:rPr>
          <w:rFonts w:ascii="Times New Roman" w:hAnsi="Times New Roman"/>
          <w:spacing w:val="-2"/>
          <w:sz w:val="28"/>
          <w:szCs w:val="28"/>
        </w:rPr>
        <w:t xml:space="preserve">  їх  поширення,  </w:t>
      </w:r>
      <w:proofErr w:type="spellStart"/>
      <w:r w:rsidRPr="000519A0">
        <w:rPr>
          <w:rFonts w:ascii="Times New Roman" w:hAnsi="Times New Roman"/>
          <w:spacing w:val="-2"/>
          <w:sz w:val="28"/>
          <w:szCs w:val="28"/>
        </w:rPr>
        <w:t>агрокліматичних</w:t>
      </w:r>
      <w:proofErr w:type="spellEnd"/>
      <w:r w:rsidRPr="000519A0">
        <w:rPr>
          <w:rFonts w:ascii="Times New Roman" w:hAnsi="Times New Roman"/>
          <w:spacing w:val="-2"/>
          <w:sz w:val="28"/>
          <w:szCs w:val="28"/>
        </w:rPr>
        <w:t xml:space="preserve">  зон  місцезростань  і категорій  площ  </w:t>
      </w:r>
      <w:proofErr w:type="spellStart"/>
      <w:r w:rsidRPr="000519A0">
        <w:rPr>
          <w:rFonts w:ascii="Times New Roman" w:hAnsi="Times New Roman"/>
          <w:spacing w:val="-2"/>
          <w:sz w:val="28"/>
          <w:szCs w:val="28"/>
        </w:rPr>
        <w:t>лісокультур</w:t>
      </w:r>
      <w:proofErr w:type="spellEnd"/>
      <w:r w:rsidRPr="000519A0">
        <w:rPr>
          <w:rFonts w:ascii="Times New Roman" w:hAnsi="Times New Roman"/>
          <w:spacing w:val="-2"/>
          <w:sz w:val="28"/>
          <w:szCs w:val="28"/>
        </w:rPr>
        <w:t xml:space="preserve">  на  перспективу  запланувати  склад  і структуру майбутніх </w:t>
      </w:r>
      <w:proofErr w:type="spellStart"/>
      <w:r w:rsidRPr="000519A0">
        <w:rPr>
          <w:rFonts w:ascii="Times New Roman" w:hAnsi="Times New Roman"/>
          <w:spacing w:val="-2"/>
          <w:sz w:val="28"/>
          <w:szCs w:val="28"/>
        </w:rPr>
        <w:t>лісокультур</w:t>
      </w:r>
      <w:proofErr w:type="spellEnd"/>
      <w:r w:rsidRPr="000519A0">
        <w:rPr>
          <w:rFonts w:ascii="Times New Roman" w:hAnsi="Times New Roman"/>
          <w:spacing w:val="-2"/>
          <w:sz w:val="28"/>
          <w:szCs w:val="28"/>
        </w:rPr>
        <w:t xml:space="preserve">  у  сільськогосподарських ландшафтах, їх  густоту, визначати достатньо оптимальну вікову й </w:t>
      </w:r>
      <w:proofErr w:type="spellStart"/>
      <w:r w:rsidRPr="000519A0">
        <w:rPr>
          <w:rFonts w:ascii="Times New Roman" w:hAnsi="Times New Roman"/>
          <w:spacing w:val="-2"/>
          <w:sz w:val="28"/>
          <w:szCs w:val="28"/>
        </w:rPr>
        <w:t>ценотичну</w:t>
      </w:r>
      <w:proofErr w:type="spellEnd"/>
      <w:r w:rsidRPr="000519A0">
        <w:rPr>
          <w:rFonts w:ascii="Times New Roman" w:hAnsi="Times New Roman"/>
          <w:spacing w:val="-2"/>
          <w:sz w:val="28"/>
          <w:szCs w:val="28"/>
        </w:rPr>
        <w:t xml:space="preserve"> структуру,  використовуючи  подекуди  </w:t>
      </w:r>
      <w:proofErr w:type="spellStart"/>
      <w:r w:rsidRPr="000519A0">
        <w:rPr>
          <w:rFonts w:ascii="Times New Roman" w:hAnsi="Times New Roman"/>
          <w:spacing w:val="-2"/>
          <w:sz w:val="28"/>
          <w:szCs w:val="28"/>
        </w:rPr>
        <w:t>інтродуценти</w:t>
      </w:r>
      <w:proofErr w:type="spellEnd"/>
      <w:r w:rsidRPr="000519A0">
        <w:rPr>
          <w:rFonts w:ascii="Times New Roman" w:hAnsi="Times New Roman"/>
          <w:spacing w:val="-2"/>
          <w:sz w:val="28"/>
          <w:szCs w:val="28"/>
        </w:rPr>
        <w:t xml:space="preserve">,  розміщення  ділянок  і  територій  для  посадки, визначати ступінь і вид пошкодження чагарникових і деревних порід чинниками  навколишнього  середовища,  ураженість  хворобами  і  шкідниками,  розраховувати  різні  витрати  на  формування  лісових  культур,  здійснювати  </w:t>
      </w:r>
      <w:proofErr w:type="spellStart"/>
      <w:r w:rsidRPr="000519A0">
        <w:rPr>
          <w:rFonts w:ascii="Times New Roman" w:hAnsi="Times New Roman"/>
          <w:spacing w:val="-2"/>
          <w:sz w:val="28"/>
          <w:szCs w:val="28"/>
        </w:rPr>
        <w:t>фітоіндикацію</w:t>
      </w:r>
      <w:proofErr w:type="spellEnd"/>
      <w:r w:rsidRPr="000519A0">
        <w:rPr>
          <w:rFonts w:ascii="Times New Roman" w:hAnsi="Times New Roman"/>
          <w:spacing w:val="-2"/>
          <w:sz w:val="28"/>
          <w:szCs w:val="28"/>
        </w:rPr>
        <w:t xml:space="preserve">,  проводити  бонітування, а також  помірні  та своєчасні  санітарні  рубки догляду і на основі цього формувати кадастрову документацію. </w:t>
      </w:r>
    </w:p>
    <w:p w:rsidR="00C10ADA" w:rsidRPr="0019241C" w:rsidRDefault="00C10ADA" w:rsidP="00C10AD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Токсикологічний моніторинг</w:t>
      </w: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19241C">
        <w:rPr>
          <w:rFonts w:ascii="Times New Roman" w:hAnsi="Times New Roman"/>
          <w:sz w:val="28"/>
          <w:szCs w:val="28"/>
        </w:rPr>
        <w:t xml:space="preserve"> аналіз  рівня  забруднення  рослинності, природних вод (підземних і поверхневих) та ґрунтів хімічними сполуками I–IV класів  небезпеки  щодо  токсичності,  визначення  джерел,  причин  і  видів забруднення, екологічна оцінка небезпечності забруднення за екологічними та  токсикологічними  параметрами,  здійснення  районування  та  на  його  основі  формування карт щодо </w:t>
      </w:r>
      <w:proofErr w:type="spellStart"/>
      <w:r w:rsidRPr="0019241C">
        <w:rPr>
          <w:rFonts w:ascii="Times New Roman" w:hAnsi="Times New Roman"/>
          <w:sz w:val="28"/>
          <w:szCs w:val="28"/>
        </w:rPr>
        <w:t>екотоксикологічного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. Прикладом проведення  </w:t>
      </w:r>
      <w:proofErr w:type="spellStart"/>
      <w:r w:rsidRPr="0019241C">
        <w:rPr>
          <w:rFonts w:ascii="Times New Roman" w:hAnsi="Times New Roman"/>
          <w:sz w:val="28"/>
          <w:szCs w:val="28"/>
        </w:rPr>
        <w:t>екотоксикологічного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 моніторингу  органічних  </w:t>
      </w:r>
      <w:proofErr w:type="spellStart"/>
      <w:r w:rsidRPr="0019241C">
        <w:rPr>
          <w:rFonts w:ascii="Times New Roman" w:hAnsi="Times New Roman"/>
          <w:sz w:val="28"/>
          <w:szCs w:val="28"/>
        </w:rPr>
        <w:t>ксенобіотиків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 є  така схема  його  організації,  яка  включає в себе такі етапи: 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>1) складання програми  спостережень,  що  включає  наукове  обґрунтування  вибору  місця спостереження (точки відбору зразків), об’єктів спостереження (ґрунт, рослини, продукція  рослинництва  і  тваринництва);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2)  визначення джерел і видів забруднення органічними </w:t>
      </w:r>
      <w:proofErr w:type="spellStart"/>
      <w:r w:rsidRPr="0019241C">
        <w:rPr>
          <w:rFonts w:ascii="Times New Roman" w:hAnsi="Times New Roman"/>
          <w:sz w:val="28"/>
          <w:szCs w:val="28"/>
        </w:rPr>
        <w:t>ксенобіотиками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, об’єктів, масштабів;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3)  дослідження шляхів надходження і перетворення токсичних речовин в окремих ланках агрофітоценозу;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 4)  відбір зразків досліджуваних об’єктів;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5) проведення хіміко-аналітичного контролю за вмістом залишкових кількостей пестицидів у відібраних зразках;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 6)  виявлення ділянок із кризовим забрудненням стійкими органічними забруднювачами;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 7)  оцінка фонового забруднення і забруднення сільськогосподарських угідь стійкими органічними забруднювачами;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 8)  оцінка впливу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агротехнологій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на забруднення водних джерел і сільськогосподарської продукції сучасними пестицидами;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9) на основі даних хімічного аналізу і </w:t>
      </w:r>
      <w:proofErr w:type="spellStart"/>
      <w:r w:rsidRPr="0019241C">
        <w:rPr>
          <w:rFonts w:ascii="Times New Roman" w:hAnsi="Times New Roman"/>
          <w:sz w:val="28"/>
          <w:szCs w:val="28"/>
        </w:rPr>
        <w:t>біотестів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, проведення </w:t>
      </w:r>
      <w:proofErr w:type="spellStart"/>
      <w:r w:rsidRPr="0019241C">
        <w:rPr>
          <w:rFonts w:ascii="Times New Roman" w:hAnsi="Times New Roman"/>
          <w:sz w:val="28"/>
          <w:szCs w:val="28"/>
        </w:rPr>
        <w:t>екотоксикологічної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оцінки рівнів забруднення пестицидами й визначення впливу </w:t>
      </w:r>
      <w:r w:rsidRPr="0019241C">
        <w:rPr>
          <w:rFonts w:ascii="Times New Roman" w:hAnsi="Times New Roman"/>
          <w:sz w:val="28"/>
          <w:szCs w:val="28"/>
        </w:rPr>
        <w:lastRenderedPageBreak/>
        <w:t xml:space="preserve">цих рівнів на якість сільськогосподарської продукції, а також визначення придатності сільськогосподарських угідь для вирощування тих чи інших культур;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10) оцінка </w:t>
      </w:r>
      <w:proofErr w:type="spellStart"/>
      <w:r w:rsidRPr="0019241C">
        <w:rPr>
          <w:rFonts w:ascii="Times New Roman" w:hAnsi="Times New Roman"/>
          <w:sz w:val="28"/>
          <w:szCs w:val="28"/>
        </w:rPr>
        <w:t>фітотоксичності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забруднених пестицидами ґрунтів; 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11)  цілеспрямоване регулювання і керівництво якістю навколишнього природного середовища на основі рекомендацій щодо запобігання забрудненню агрофітоценозів і сільськогосподарської продукції пестицидами; 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12)  розробка методів </w:t>
      </w:r>
      <w:proofErr w:type="spellStart"/>
      <w:r w:rsidRPr="0019241C">
        <w:rPr>
          <w:rFonts w:ascii="Times New Roman" w:hAnsi="Times New Roman"/>
          <w:sz w:val="28"/>
          <w:szCs w:val="28"/>
        </w:rPr>
        <w:t>біо</w:t>
      </w:r>
      <w:proofErr w:type="spellEnd"/>
      <w:r w:rsidRPr="001924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41C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19241C">
        <w:rPr>
          <w:rFonts w:ascii="Times New Roman" w:hAnsi="Times New Roman"/>
          <w:sz w:val="28"/>
          <w:szCs w:val="28"/>
        </w:rPr>
        <w:t>фіторемедіації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забруднених органічними </w:t>
      </w:r>
      <w:proofErr w:type="spellStart"/>
      <w:r w:rsidRPr="0019241C">
        <w:rPr>
          <w:rFonts w:ascii="Times New Roman" w:hAnsi="Times New Roman"/>
          <w:sz w:val="28"/>
          <w:szCs w:val="28"/>
        </w:rPr>
        <w:t>ксенобіотиками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ґрунтів.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i/>
          <w:sz w:val="28"/>
          <w:szCs w:val="28"/>
        </w:rPr>
        <w:t>Біотичний моніторинг</w:t>
      </w:r>
      <w:r w:rsidRPr="0019241C">
        <w:rPr>
          <w:rFonts w:ascii="Times New Roman" w:hAnsi="Times New Roman"/>
          <w:sz w:val="28"/>
          <w:szCs w:val="28"/>
        </w:rPr>
        <w:t xml:space="preserve"> – опис і визначення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агробіорізноманіття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та аналіз його екологічного стану: реліктових, вразливих, ендемічних, зникаючих, рідкісних представників рослинного і тваринного світу, ареали яких можуть знаходитись або знаходяться на територіях провадження сільськогосподарської діяльності; сюди відносяться також моніторингові спостереження: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а) лісогосподарських територій, площ і угідь, у межах яких проводиться цілеспрямоване й опосередковане стихійне заліснення, зокрема досить цінних типових і унікальних степових ділянок;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б) природних лучних і кормових угідь, пасовищ, степових ділянок, сінокосів, зокрема тих, що належать до заплавних, </w:t>
      </w:r>
      <w:proofErr w:type="spellStart"/>
      <w:r w:rsidRPr="0019241C">
        <w:rPr>
          <w:rFonts w:ascii="Times New Roman" w:hAnsi="Times New Roman"/>
          <w:sz w:val="28"/>
          <w:szCs w:val="28"/>
        </w:rPr>
        <w:t>надзаплавно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-терасових, </w:t>
      </w:r>
      <w:proofErr w:type="spellStart"/>
      <w:r w:rsidRPr="0019241C">
        <w:rPr>
          <w:rFonts w:ascii="Times New Roman" w:hAnsi="Times New Roman"/>
          <w:sz w:val="28"/>
          <w:szCs w:val="28"/>
        </w:rPr>
        <w:t>схилових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9241C">
        <w:rPr>
          <w:rFonts w:ascii="Times New Roman" w:hAnsi="Times New Roman"/>
          <w:sz w:val="28"/>
          <w:szCs w:val="28"/>
        </w:rPr>
        <w:t>плакорних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(вододільних) місцевостей;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в) водно-болотних угідь, земель, що були меліоровані, та торфовищ; </w:t>
      </w:r>
    </w:p>
    <w:p w:rsidR="00C10ADA" w:rsidRPr="000519A0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г) </w:t>
      </w:r>
      <w:r w:rsidRPr="000519A0">
        <w:rPr>
          <w:rFonts w:ascii="Times New Roman" w:hAnsi="Times New Roman"/>
          <w:spacing w:val="-4"/>
          <w:sz w:val="28"/>
          <w:szCs w:val="28"/>
        </w:rPr>
        <w:t xml:space="preserve">технічних, лікарських, плодово-ягідних, медоносних, кормових культур;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д) мікрофлори ґрунту; 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е) рослин-бур’янів: сегетальних, адвентивних і карантинних зокрема; </w:t>
      </w:r>
    </w:p>
    <w:p w:rsidR="00C10ADA" w:rsidRPr="000519A0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є) </w:t>
      </w:r>
      <w:r w:rsidRPr="000519A0">
        <w:rPr>
          <w:rFonts w:ascii="Times New Roman" w:hAnsi="Times New Roman"/>
          <w:spacing w:val="-4"/>
          <w:sz w:val="28"/>
          <w:szCs w:val="28"/>
        </w:rPr>
        <w:t xml:space="preserve">шкідників  сільськогосподарських  культур  та  угідь: розповсюджених  карантинних  організмів,  зокрема:  </w:t>
      </w:r>
      <w:proofErr w:type="spellStart"/>
      <w:r w:rsidRPr="000519A0">
        <w:rPr>
          <w:rFonts w:ascii="Times New Roman" w:hAnsi="Times New Roman"/>
          <w:spacing w:val="-4"/>
          <w:sz w:val="28"/>
          <w:szCs w:val="28"/>
        </w:rPr>
        <w:t>мінуючої</w:t>
      </w:r>
      <w:proofErr w:type="spellEnd"/>
      <w:r w:rsidRPr="000519A0">
        <w:rPr>
          <w:rFonts w:ascii="Times New Roman" w:hAnsi="Times New Roman"/>
          <w:spacing w:val="-4"/>
          <w:sz w:val="28"/>
          <w:szCs w:val="28"/>
        </w:rPr>
        <w:t xml:space="preserve">  молі  каштанової,  білого  метелика  американського,  золотистої  нематоди картопляної  та  ін.);  патогенних  мікроорганізмів,  вірусів,  бактерій  і  комах-шкідників  (клопа-шкідливої  черепашки,  озимої  совки,  хрущів,  саранових,  бурякового довгоносика, тлі бурякової, жука колорадського, кліщів, шкідників  садів,  ягідників,  виноградників,  хмільників);  комах  кровосисних  (гельмінтів,  збудників  різноманітних  хвороб);  хребетних  тварин,  зокрема  представників  орнітофауни,  </w:t>
      </w:r>
      <w:proofErr w:type="spellStart"/>
      <w:r w:rsidRPr="000519A0">
        <w:rPr>
          <w:rFonts w:ascii="Times New Roman" w:hAnsi="Times New Roman"/>
          <w:spacing w:val="-4"/>
          <w:sz w:val="28"/>
          <w:szCs w:val="28"/>
        </w:rPr>
        <w:t>мишовидних</w:t>
      </w:r>
      <w:proofErr w:type="spellEnd"/>
      <w:r w:rsidRPr="000519A0">
        <w:rPr>
          <w:rFonts w:ascii="Times New Roman" w:hAnsi="Times New Roman"/>
          <w:spacing w:val="-4"/>
          <w:sz w:val="28"/>
          <w:szCs w:val="28"/>
        </w:rPr>
        <w:t xml:space="preserve">  гризунів,  парнокопитних  (зубрів,  лосів,  диких  свиней, косуль, оленів та ін.). 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i/>
          <w:sz w:val="28"/>
          <w:szCs w:val="28"/>
        </w:rPr>
        <w:t>Санітарно-гігієнічний  моніторинг</w:t>
      </w:r>
      <w:r w:rsidRPr="0019241C">
        <w:rPr>
          <w:rFonts w:ascii="Times New Roman" w:hAnsi="Times New Roman"/>
          <w:sz w:val="28"/>
          <w:szCs w:val="28"/>
        </w:rPr>
        <w:t xml:space="preserve"> –  визначення  щільності  забруднення  ґрунтів радіонуклідами та оцінка ступеня їх міграції; наявність та обсяг важких  металів  (валових  форм)  за  класом  небезпеки: I класу – рухомих  форм  цинку, астату,  кадмію,  свинцю,  селену,  ртуті; II класу – хрому,  бору,  нікелю, кобальту, нікелю, </w:t>
      </w:r>
      <w:proofErr w:type="spellStart"/>
      <w:r w:rsidRPr="0019241C">
        <w:rPr>
          <w:rFonts w:ascii="Times New Roman" w:hAnsi="Times New Roman"/>
          <w:sz w:val="28"/>
          <w:szCs w:val="28"/>
        </w:rPr>
        <w:t>стибію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, молібдену, міді; III класу – стронцію, барію, ванадію, вольфраму,  мангану;  наявність  залишків  солей  пестицидів;  </w:t>
      </w:r>
      <w:proofErr w:type="spellStart"/>
      <w:r w:rsidRPr="0019241C">
        <w:rPr>
          <w:rFonts w:ascii="Times New Roman" w:hAnsi="Times New Roman"/>
          <w:sz w:val="28"/>
          <w:szCs w:val="28"/>
        </w:rPr>
        <w:t>бітумізованих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 речовин  при  забрудненні  нафтопродуктами  та  їх  поширення;  обсяг  і  частка  патогенних мікроорганізмів, а також вірусів і бактерій.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i/>
          <w:sz w:val="28"/>
          <w:szCs w:val="28"/>
        </w:rPr>
        <w:lastRenderedPageBreak/>
        <w:t>Соціально-екологічний  моніторинг</w:t>
      </w:r>
      <w:r w:rsidRPr="0019241C">
        <w:rPr>
          <w:rFonts w:ascii="Times New Roman" w:hAnsi="Times New Roman"/>
          <w:sz w:val="28"/>
          <w:szCs w:val="28"/>
        </w:rPr>
        <w:t xml:space="preserve"> –  оцінка  й  аналіз  стану  та  динаміки:  екологічної  поведінки,  освіти,  культури  й  виховання  сільського  населення; екологічної безпеки, санітарно-екологічних, медико-демографічних і соціально-економічних  умов  проживання  населення  в  певних  регіонах  і  районах, установлення особливостей міграційних процесів; специфіки трудових  ресурсів  у  сільському  господарстві;  діяльності  громадських  екологічних організацій;  інформування  населення  щодо  екологічної  безпеки,  екологічної  політики  й  екологічного  управління  та  їх  відповідності  принципам  і  положенням збалансованого розвитку.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Для  визначення  початкової  оцінки  екологічного  стану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 необхідним  і доцільним є проведення  попереднього моніторингу, у ході  якого  збирається  фонова, достовірна</w:t>
      </w:r>
      <w:r w:rsidRPr="00AB7D5D">
        <w:rPr>
          <w:rFonts w:ascii="Times New Roman" w:hAnsi="Times New Roman"/>
          <w:sz w:val="28"/>
          <w:szCs w:val="28"/>
        </w:rPr>
        <w:t xml:space="preserve"> </w:t>
      </w:r>
      <w:r w:rsidRPr="000519A0">
        <w:rPr>
          <w:rFonts w:ascii="Times New Roman" w:hAnsi="Times New Roman"/>
          <w:sz w:val="28"/>
          <w:szCs w:val="28"/>
        </w:rPr>
        <w:t xml:space="preserve"> </w:t>
      </w:r>
      <w:r w:rsidRPr="0019241C">
        <w:rPr>
          <w:rFonts w:ascii="Times New Roman" w:hAnsi="Times New Roman"/>
          <w:sz w:val="28"/>
          <w:szCs w:val="28"/>
        </w:rPr>
        <w:t xml:space="preserve">інформація  щодо наявного  екологічного  стану  </w:t>
      </w:r>
      <w:r w:rsidRPr="000519A0">
        <w:rPr>
          <w:rFonts w:ascii="Times New Roman" w:hAnsi="Times New Roman"/>
          <w:sz w:val="28"/>
          <w:szCs w:val="28"/>
        </w:rPr>
        <w:t>різних  видів</w:t>
      </w:r>
      <w:r w:rsidRPr="001924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агроекосистем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,  встановлюються основні  причини  та  джерела,  що  призводять  до  порушення  їх  нормального  й оптимального  екологічного  стану  й  визначаються  зони  їх  реального  та  можливого  </w:t>
      </w:r>
      <w:proofErr w:type="spellStart"/>
      <w:r w:rsidRPr="0019241C">
        <w:rPr>
          <w:rFonts w:ascii="Times New Roman" w:hAnsi="Times New Roman"/>
          <w:sz w:val="28"/>
          <w:szCs w:val="28"/>
        </w:rPr>
        <w:t>відтермінованого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 впливу.  Поточний моніторинг здійснюється за сформованою і </w:t>
      </w:r>
      <w:r>
        <w:rPr>
          <w:rFonts w:ascii="Times New Roman" w:hAnsi="Times New Roman"/>
          <w:sz w:val="28"/>
          <w:szCs w:val="28"/>
        </w:rPr>
        <w:t>нал</w:t>
      </w:r>
      <w:r w:rsidRPr="0019241C">
        <w:rPr>
          <w:rFonts w:ascii="Times New Roman" w:hAnsi="Times New Roman"/>
          <w:sz w:val="28"/>
          <w:szCs w:val="28"/>
        </w:rPr>
        <w:t xml:space="preserve">агодженою   мережею у мінімальних і обмежених обсягах, де поточному контролю підлягають практично тільки компоненти, які є найважливішими й найінформативнішими елементами сільськогосподарських ландшафтів або агрокомплексів.  Позачерговий моніторинг проводиться лише тоді, коли спостерігається різке або значне погіршення екологічного стану сільськогосподарських ландшафтів.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 Лише ефективна система комплексного екологічного моніторингу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України дозволить: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 1)  розробити й реалізувати короткострокові та довгострокові локальні, регіональні й національну програми відродження компонентів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, виділити «екологічно чисті» сировинні зони, здійснювати органічне землеробство й одержувати екологічно безпечну продукцію та сировину на основі агроекологічного районування;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 2)  створити оптимальне співвідношення між елементами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агроландшафту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(орними і еколого-стабілізуючими угіддями – лісовими, водно-болотними, сіножатями, пасовищами і природно-заповідним фондом) для кожної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агроландшафтної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фації, урочища, місцевості, району, області, </w:t>
      </w:r>
      <w:proofErr w:type="spellStart"/>
      <w:r w:rsidRPr="0019241C">
        <w:rPr>
          <w:rFonts w:ascii="Times New Roman" w:hAnsi="Times New Roman"/>
          <w:sz w:val="28"/>
          <w:szCs w:val="28"/>
        </w:rPr>
        <w:t>внутрішньокрайових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та єдиних фізико-географічних країв;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 3)  вилучити з інтенсивного обробітку </w:t>
      </w:r>
      <w:proofErr w:type="spellStart"/>
      <w:r w:rsidRPr="0019241C">
        <w:rPr>
          <w:rFonts w:ascii="Times New Roman" w:hAnsi="Times New Roman"/>
          <w:sz w:val="28"/>
          <w:szCs w:val="28"/>
        </w:rPr>
        <w:t>сильнодеградовані</w:t>
      </w:r>
      <w:proofErr w:type="spellEnd"/>
      <w:r w:rsidRPr="0019241C">
        <w:rPr>
          <w:rFonts w:ascii="Times New Roman" w:hAnsi="Times New Roman"/>
          <w:sz w:val="28"/>
          <w:szCs w:val="28"/>
        </w:rPr>
        <w:t>, забруднені й малопродуктивні землі сільськогосподарського використання, у тому числі  ґрунти,  розміщені  на  схилах крутизною 3</w:t>
      </w:r>
      <w:r w:rsidRPr="0019241C">
        <w:rPr>
          <w:rFonts w:ascii="Times New Roman" w:hAnsi="Times New Roman"/>
          <w:sz w:val="28"/>
          <w:szCs w:val="28"/>
          <w:vertAlign w:val="superscript"/>
        </w:rPr>
        <w:t xml:space="preserve">о </w:t>
      </w:r>
      <w:r w:rsidRPr="0019241C">
        <w:rPr>
          <w:rFonts w:ascii="Times New Roman" w:hAnsi="Times New Roman"/>
          <w:sz w:val="28"/>
          <w:szCs w:val="28"/>
        </w:rPr>
        <w:t xml:space="preserve">і понад, малопродуктивні ґрунти, раніше розорані водоохоронні й </w:t>
      </w:r>
      <w:proofErr w:type="spellStart"/>
      <w:r w:rsidRPr="0019241C">
        <w:rPr>
          <w:rFonts w:ascii="Times New Roman" w:hAnsi="Times New Roman"/>
          <w:sz w:val="28"/>
          <w:szCs w:val="28"/>
        </w:rPr>
        <w:t>прибережно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-захисні  землі  гідрографічної  мережі,  земельні  угіддя, розташовані  безпосередньо  навколо  тваринницьких  комплексів,  птахоферм  і населених  пунктів,  радіаційно  забруднені  землі,  забруднені  залишками  солей важких  металів,  пестицидів,  включивши  їх  до  структурних  елементів екологічної  мережі  (як  буферні  й  відновлювальні  території)  агросфери  з перспективою ренатуралізації;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lastRenderedPageBreak/>
        <w:t xml:space="preserve">4) запобігти безповоротній втраті частини </w:t>
      </w:r>
      <w:proofErr w:type="spellStart"/>
      <w:r w:rsidRPr="0019241C">
        <w:rPr>
          <w:rFonts w:ascii="Times New Roman" w:hAnsi="Times New Roman"/>
          <w:sz w:val="28"/>
          <w:szCs w:val="28"/>
        </w:rPr>
        <w:t>гено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Pr="0019241C">
        <w:rPr>
          <w:rFonts w:ascii="Times New Roman" w:hAnsi="Times New Roman"/>
          <w:sz w:val="28"/>
          <w:szCs w:val="28"/>
        </w:rPr>
        <w:t>демо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Pr="0019241C">
        <w:rPr>
          <w:rFonts w:ascii="Times New Roman" w:hAnsi="Times New Roman"/>
          <w:sz w:val="28"/>
          <w:szCs w:val="28"/>
        </w:rPr>
        <w:t>цено</w:t>
      </w:r>
      <w:proofErr w:type="spellEnd"/>
      <w:r w:rsidRPr="001924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і</w:t>
      </w:r>
      <w:r w:rsidRPr="00192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41C">
        <w:rPr>
          <w:rFonts w:ascii="Times New Roman" w:hAnsi="Times New Roman"/>
          <w:sz w:val="28"/>
          <w:szCs w:val="28"/>
        </w:rPr>
        <w:t>екофонду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регіону та збільшити площу природно-заповідного фонду за рахунок малопродуктивних, частково деградованих і техногенно-забруднених (у тому числі радіоактивних) сільськогосподарських земель; </w:t>
      </w:r>
    </w:p>
    <w:p w:rsidR="00C10ADA" w:rsidRPr="0019241C" w:rsidRDefault="00C10ADA" w:rsidP="00C1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5) організовувати й широко впроваджувати екологічну освіту та виховання, екологічну інспекцію, експертизу небезпечних об’єктів, які впливають на екологічний стан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; здійснювати екологічну паспортизацію, аудит і менеджмент у сфері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агроприродокористування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. </w:t>
      </w:r>
    </w:p>
    <w:p w:rsidR="00C10ADA" w:rsidRPr="0019241C" w:rsidRDefault="00C10ADA" w:rsidP="00C10ADA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241C">
        <w:rPr>
          <w:rFonts w:ascii="Times New Roman" w:hAnsi="Times New Roman"/>
          <w:b/>
          <w:sz w:val="28"/>
          <w:szCs w:val="28"/>
          <w:lang w:eastAsia="ru-RU"/>
        </w:rPr>
        <w:t>Завдання до лабораторної роботи</w:t>
      </w:r>
    </w:p>
    <w:p w:rsidR="007D2633" w:rsidRDefault="00C10ADA" w:rsidP="00C10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b/>
          <w:sz w:val="28"/>
          <w:szCs w:val="28"/>
          <w:lang w:eastAsia="ru-RU"/>
        </w:rPr>
        <w:t>Завдання  1.  </w:t>
      </w: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Ознайомитись із основними</w:t>
      </w:r>
      <w:r w:rsidRPr="0019241C">
        <w:rPr>
          <w:rFonts w:ascii="Times New Roman" w:hAnsi="Times New Roman"/>
          <w:sz w:val="28"/>
          <w:szCs w:val="28"/>
        </w:rPr>
        <w:t xml:space="preserve"> складовими екологічного моніторингу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агроландшафтів</w:t>
      </w:r>
      <w:proofErr w:type="spellEnd"/>
      <w:r w:rsidR="007D2633">
        <w:rPr>
          <w:rFonts w:ascii="Times New Roman" w:hAnsi="Times New Roman"/>
          <w:sz w:val="28"/>
          <w:szCs w:val="28"/>
        </w:rPr>
        <w:t>. Скласти таблицю: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953"/>
      </w:tblGrid>
      <w:tr w:rsidR="007D2633" w:rsidTr="007D2633">
        <w:tc>
          <w:tcPr>
            <w:tcW w:w="3681" w:type="dxa"/>
          </w:tcPr>
          <w:p w:rsidR="007D2633" w:rsidRDefault="007D2633" w:rsidP="007D2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Складова агроекологічного моніторингу</w:t>
            </w:r>
          </w:p>
        </w:tc>
        <w:tc>
          <w:tcPr>
            <w:tcW w:w="5953" w:type="dxa"/>
          </w:tcPr>
          <w:p w:rsidR="007D2633" w:rsidRDefault="007D2633" w:rsidP="007D2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зміст</w:t>
            </w:r>
          </w:p>
        </w:tc>
      </w:tr>
      <w:tr w:rsidR="007D2633" w:rsidTr="007D2633">
        <w:tc>
          <w:tcPr>
            <w:tcW w:w="3681" w:type="dxa"/>
          </w:tcPr>
          <w:p w:rsidR="007D2633" w:rsidRDefault="007D2633" w:rsidP="00C10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D2633" w:rsidRDefault="007D2633" w:rsidP="00C10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D2633" w:rsidTr="007D2633">
        <w:tc>
          <w:tcPr>
            <w:tcW w:w="3681" w:type="dxa"/>
          </w:tcPr>
          <w:p w:rsidR="007D2633" w:rsidRDefault="007D2633" w:rsidP="00C10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D2633" w:rsidRDefault="007D2633" w:rsidP="00C10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0ADA" w:rsidRPr="0019241C" w:rsidRDefault="00C10ADA" w:rsidP="00C10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1C">
        <w:rPr>
          <w:rFonts w:ascii="Times New Roman" w:hAnsi="Times New Roman"/>
          <w:sz w:val="28"/>
          <w:szCs w:val="28"/>
        </w:rPr>
        <w:t>.</w:t>
      </w: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10ADA" w:rsidRPr="0019241C" w:rsidRDefault="00C10ADA" w:rsidP="00C10ADA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0ADA" w:rsidRDefault="00C10ADA" w:rsidP="00C10ADA">
      <w:pPr>
        <w:widowControl w:val="0"/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10ADA" w:rsidRPr="0019241C" w:rsidRDefault="00C10ADA" w:rsidP="00C10ADA">
      <w:pPr>
        <w:widowControl w:val="0"/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Контрольні питання</w:t>
      </w:r>
    </w:p>
    <w:p w:rsidR="00C10ADA" w:rsidRPr="0019241C" w:rsidRDefault="00C10ADA" w:rsidP="00C10AD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Назвіть складові біотичного моніторингу. </w:t>
      </w:r>
    </w:p>
    <w:p w:rsidR="00C10ADA" w:rsidRPr="0019241C" w:rsidRDefault="00C10ADA" w:rsidP="00C10AD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  яких  показників  включає  </w:t>
      </w:r>
      <w:proofErr w:type="spellStart"/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фітобіотичний</w:t>
      </w:r>
      <w:proofErr w:type="spellEnd"/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моніторинг? </w:t>
      </w:r>
    </w:p>
    <w:p w:rsidR="00C10ADA" w:rsidRPr="0019241C" w:rsidRDefault="00C10ADA" w:rsidP="00C10AD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якою метою проводиться мікробіологічний моніторинг? </w:t>
      </w:r>
    </w:p>
    <w:p w:rsidR="00C10ADA" w:rsidRPr="0019241C" w:rsidRDefault="00C10ADA" w:rsidP="00C10AD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якою метою проводиться фітовірусологічний моніторинг? </w:t>
      </w:r>
    </w:p>
    <w:p w:rsidR="00C10ADA" w:rsidRPr="0019241C" w:rsidRDefault="00C10ADA" w:rsidP="00C10AD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 якою  метою  проводиться  популяційно-генетичний моніторинг?</w:t>
      </w:r>
    </w:p>
    <w:p w:rsidR="00C10ADA" w:rsidRPr="0019241C" w:rsidRDefault="00C10ADA" w:rsidP="00C10AD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якою метою проводиться </w:t>
      </w:r>
      <w:proofErr w:type="spellStart"/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гідроекологічний</w:t>
      </w:r>
      <w:proofErr w:type="spellEnd"/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моніторинг?</w:t>
      </w:r>
      <w:r w:rsidRPr="0019241C">
        <w:t xml:space="preserve"> </w:t>
      </w:r>
    </w:p>
    <w:p w:rsidR="00C10ADA" w:rsidRPr="0019241C" w:rsidRDefault="00C10ADA" w:rsidP="00C10AD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Які складові має включати в себе токсикологічний моніторинг? </w:t>
      </w:r>
    </w:p>
    <w:p w:rsidR="00C10ADA" w:rsidRPr="0019241C" w:rsidRDefault="00C10ADA" w:rsidP="00C10AD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Який порядок  проведення  моніторингу  земель  за  станом рослинності? </w:t>
      </w:r>
    </w:p>
    <w:p w:rsidR="00C10ADA" w:rsidRPr="0019241C" w:rsidRDefault="00C10ADA" w:rsidP="00C10AD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Яке  спостереження  проводиться у  ході  моніторингу рослинного покриву для видів-едифікаторів? </w:t>
      </w:r>
    </w:p>
    <w:p w:rsidR="00C10ADA" w:rsidRPr="0019241C" w:rsidRDefault="00C10ADA" w:rsidP="00C10AD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 складові має включати в себе біотичний моніторинг?</w:t>
      </w:r>
    </w:p>
    <w:p w:rsidR="00C10ADA" w:rsidRPr="0019241C" w:rsidRDefault="00C10ADA" w:rsidP="00C10AD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 якою  метою  проводиться  популяційно-генетичний моніторинг? </w:t>
      </w:r>
    </w:p>
    <w:p w:rsidR="00C10ADA" w:rsidRPr="0019241C" w:rsidRDefault="00C10ADA" w:rsidP="00C10AD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  основні  показники  стану  рослин  можуть  бути включені до програми моніторингу?</w:t>
      </w:r>
    </w:p>
    <w:p w:rsidR="00494695" w:rsidRDefault="00494695"/>
    <w:p w:rsidR="002E6262" w:rsidRPr="0019241C" w:rsidRDefault="002E6262" w:rsidP="002E62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41C">
        <w:rPr>
          <w:rFonts w:ascii="Times New Roman" w:hAnsi="Times New Roman"/>
          <w:b/>
          <w:sz w:val="28"/>
          <w:szCs w:val="28"/>
        </w:rPr>
        <w:t>ТЕМА № 2.</w:t>
      </w:r>
      <w:r w:rsidRPr="0019241C">
        <w:rPr>
          <w:rFonts w:ascii="Times New Roman" w:hAnsi="Times New Roman"/>
          <w:sz w:val="28"/>
          <w:szCs w:val="28"/>
        </w:rPr>
        <w:t xml:space="preserve">  </w:t>
      </w:r>
      <w:r w:rsidRPr="0019241C">
        <w:rPr>
          <w:rFonts w:ascii="Times New Roman" w:hAnsi="Times New Roman"/>
          <w:b/>
          <w:bCs/>
          <w:sz w:val="28"/>
          <w:szCs w:val="28"/>
        </w:rPr>
        <w:t>ОПТИМІЗAЦІЯ ПРИРОДНИХ І CІЛЬГОСПУГІДЬ У ЛАНДШАФТІ</w:t>
      </w:r>
    </w:p>
    <w:p w:rsidR="002E6262" w:rsidRPr="0019241C" w:rsidRDefault="002E6262" w:rsidP="002E62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6262" w:rsidRPr="0019241C" w:rsidRDefault="002E6262" w:rsidP="002E62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19241C">
        <w:rPr>
          <w:rFonts w:ascii="Times New Roman" w:hAnsi="Times New Roman"/>
          <w:b/>
          <w:bCs/>
          <w:iCs/>
          <w:sz w:val="28"/>
          <w:szCs w:val="28"/>
        </w:rPr>
        <w:t>Мета:</w:t>
      </w:r>
      <w:r w:rsidRPr="0019241C">
        <w:rPr>
          <w:rFonts w:ascii="Times New Roman" w:hAnsi="Times New Roman"/>
          <w:iCs/>
          <w:sz w:val="28"/>
          <w:szCs w:val="28"/>
        </w:rPr>
        <w:t xml:space="preserve"> засвоїти методику встановлення нормативів оптимального </w:t>
      </w:r>
      <w:r w:rsidRPr="0019241C">
        <w:rPr>
          <w:rFonts w:ascii="Times New Roman" w:hAnsi="Times New Roman"/>
          <w:iCs/>
          <w:sz w:val="28"/>
          <w:szCs w:val="28"/>
        </w:rPr>
        <w:lastRenderedPageBreak/>
        <w:t>співвідношення природно-сільськогосподарських угідь у господарстві.</w:t>
      </w:r>
      <w:r w:rsidRPr="0019241C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2E6262" w:rsidRPr="0019241C" w:rsidRDefault="002E6262" w:rsidP="002E62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41C">
        <w:rPr>
          <w:rFonts w:ascii="Times New Roman" w:hAnsi="Times New Roman"/>
          <w:b/>
          <w:sz w:val="28"/>
          <w:szCs w:val="28"/>
          <w:lang w:eastAsia="ru-RU"/>
        </w:rPr>
        <w:t>Необхідні матеріали та обладнання:</w:t>
      </w:r>
      <w:r w:rsidRPr="0019241C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19241C">
        <w:rPr>
          <w:rFonts w:ascii="Times New Roman" w:hAnsi="Times New Roman"/>
          <w:sz w:val="28"/>
          <w:szCs w:val="28"/>
          <w:lang w:eastAsia="ru-RU"/>
        </w:rPr>
        <w:t>фрагмент  навчальної  топографічної карти,  карта  ґрунтів,  картосхема  господарського  освоєння  території  та техногенного  навантаження  на  середовище,  карта-схема  розташування локальної мережі моніторингу земель, конспект лекцій,  інформаційні ресурси мережі Інтернет.</w:t>
      </w:r>
    </w:p>
    <w:p w:rsidR="002E6262" w:rsidRPr="0019241C" w:rsidRDefault="002E6262" w:rsidP="002E6262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241C">
        <w:rPr>
          <w:rFonts w:ascii="Times New Roman" w:hAnsi="Times New Roman"/>
          <w:b/>
          <w:sz w:val="28"/>
          <w:szCs w:val="28"/>
          <w:lang w:eastAsia="ru-RU"/>
        </w:rPr>
        <w:t>ТЕОРЕТИЧНІ ВІДОМОСТІ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>Антропогенні ландшафти характеризуються вилученням значної кількості біогенних речовин і втратою здатності до саморегуляції. Зниження негативних наслідків інтенсивного ведення сільськогосподарського виробництва можливе шляхом оптимізації ландшафтів, тобто встановлення співвідношення окремих його складових частин: поле, сіножаті –  пасовище, лісові насадження, водне середовище, а також їх розміщення на території з метою отримання максимального виходу корисної продукції, збереження та підвищення родючості ґрунту й охорони навколишнього середовища.</w:t>
      </w:r>
    </w:p>
    <w:p w:rsidR="002E6262" w:rsidRPr="00AB7D5D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B7D5D">
        <w:rPr>
          <w:rFonts w:ascii="Times New Roman" w:hAnsi="Times New Roman"/>
          <w:spacing w:val="-4"/>
          <w:sz w:val="28"/>
          <w:szCs w:val="28"/>
        </w:rPr>
        <w:t xml:space="preserve">Характер мікроклімату, а також здатність сільськогосподарської території протистояти посухам і </w:t>
      </w:r>
      <w:proofErr w:type="spellStart"/>
      <w:r w:rsidRPr="00AB7D5D">
        <w:rPr>
          <w:rFonts w:ascii="Times New Roman" w:hAnsi="Times New Roman"/>
          <w:spacing w:val="-4"/>
          <w:sz w:val="28"/>
          <w:szCs w:val="28"/>
        </w:rPr>
        <w:t>водноерозійним</w:t>
      </w:r>
      <w:proofErr w:type="spellEnd"/>
      <w:r w:rsidRPr="00AB7D5D">
        <w:rPr>
          <w:rFonts w:ascii="Times New Roman" w:hAnsi="Times New Roman"/>
          <w:spacing w:val="-4"/>
          <w:sz w:val="28"/>
          <w:szCs w:val="28"/>
        </w:rPr>
        <w:t xml:space="preserve"> процесам обумовлюються особливостями не тільки орних ґрунтів, але й оточуючого ландшафту. Нормативи оптимального співвідношення природно-антропогенних угідь досі ще не встановлені, проте розрахунки показують, що розораність території понад 60% є екологічно небезпечною і є дестабілізуючим чинником </w:t>
      </w:r>
      <w:proofErr w:type="spellStart"/>
      <w:r w:rsidRPr="00AB7D5D">
        <w:rPr>
          <w:rFonts w:ascii="Times New Roman" w:hAnsi="Times New Roman"/>
          <w:spacing w:val="-4"/>
          <w:sz w:val="28"/>
          <w:szCs w:val="28"/>
        </w:rPr>
        <w:t>агроекосистеми</w:t>
      </w:r>
      <w:proofErr w:type="spellEnd"/>
      <w:r w:rsidRPr="00AB7D5D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Обробіток ґрунту на схилах, особливо відвальний, призводить до посилення ерозійних процесів, при цьому зростає вміст неагрегованих ґрунтових часток. Так, у лісостеповій зоні зі зростанням </w:t>
      </w:r>
      <w:proofErr w:type="spellStart"/>
      <w:r w:rsidRPr="0019241C">
        <w:rPr>
          <w:rFonts w:ascii="Times New Roman" w:hAnsi="Times New Roman"/>
          <w:sz w:val="28"/>
          <w:szCs w:val="28"/>
        </w:rPr>
        <w:t>змитості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ґрунтів і втрат гумусу  Г (</w:t>
      </w:r>
      <w:r w:rsidRPr="0019241C">
        <w:rPr>
          <w:rFonts w:ascii="Times New Roman" w:hAnsi="Times New Roman"/>
          <w:iCs/>
          <w:sz w:val="28"/>
          <w:szCs w:val="28"/>
        </w:rPr>
        <w:t>%</w:t>
      </w:r>
      <w:r w:rsidRPr="0019241C">
        <w:rPr>
          <w:rFonts w:ascii="Times New Roman" w:hAnsi="Times New Roman"/>
          <w:sz w:val="28"/>
          <w:szCs w:val="28"/>
        </w:rPr>
        <w:t xml:space="preserve">) знижується коефіцієнт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агрегованості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чорноземних і сірих лісових ґрунтів </w:t>
      </w:r>
      <w:proofErr w:type="spellStart"/>
      <w:r w:rsidRPr="0019241C">
        <w:rPr>
          <w:rFonts w:ascii="Times New Roman" w:hAnsi="Times New Roman"/>
          <w:bCs/>
          <w:iCs/>
          <w:sz w:val="28"/>
          <w:szCs w:val="28"/>
        </w:rPr>
        <w:t>K</w:t>
      </w:r>
      <w:r w:rsidRPr="0019241C">
        <w:rPr>
          <w:rFonts w:ascii="Times New Roman" w:hAnsi="Times New Roman"/>
          <w:bCs/>
          <w:iCs/>
          <w:sz w:val="28"/>
          <w:szCs w:val="28"/>
          <w:vertAlign w:val="subscript"/>
        </w:rPr>
        <w:t>a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: 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iCs/>
          <w:sz w:val="28"/>
          <w:szCs w:val="28"/>
        </w:rPr>
        <w:t xml:space="preserve">     </w:t>
      </w:r>
      <w:r w:rsidRPr="000519A0">
        <w:rPr>
          <w:rFonts w:ascii="Times New Roman" w:hAnsi="Times New Roman"/>
          <w:iCs/>
          <w:sz w:val="28"/>
          <w:szCs w:val="28"/>
        </w:rPr>
        <w:t xml:space="preserve">      </w:t>
      </w:r>
      <w:r w:rsidRPr="0019241C">
        <w:rPr>
          <w:rFonts w:ascii="Times New Roman" w:hAnsi="Times New Roman"/>
          <w:iCs/>
          <w:sz w:val="28"/>
          <w:szCs w:val="28"/>
        </w:rPr>
        <w:t xml:space="preserve"> </w:t>
      </w:r>
      <w:r w:rsidRPr="000519A0">
        <w:rPr>
          <w:rFonts w:ascii="Times New Roman" w:hAnsi="Times New Roman"/>
          <w:iCs/>
          <w:sz w:val="28"/>
          <w:szCs w:val="28"/>
        </w:rPr>
        <w:t xml:space="preserve">   </w:t>
      </w:r>
      <w:r w:rsidRPr="0019241C">
        <w:rPr>
          <w:rFonts w:ascii="Times New Roman" w:hAnsi="Times New Roman"/>
          <w:iCs/>
          <w:sz w:val="28"/>
          <w:szCs w:val="28"/>
        </w:rPr>
        <w:t xml:space="preserve"> </w:t>
      </w:r>
      <w:r w:rsidRPr="000519A0">
        <w:rPr>
          <w:rFonts w:ascii="Times New Roman" w:hAnsi="Times New Roman"/>
          <w:iCs/>
          <w:sz w:val="28"/>
          <w:szCs w:val="28"/>
        </w:rPr>
        <w:t xml:space="preserve">   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K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a</w:t>
      </w:r>
      <w:proofErr w:type="spellEnd"/>
      <w:r w:rsidRPr="0019241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9241C">
        <w:rPr>
          <w:rFonts w:ascii="Times New Roman" w:hAnsi="Times New Roman"/>
          <w:sz w:val="28"/>
          <w:szCs w:val="28"/>
        </w:rPr>
        <w:t>= 13,04*</w:t>
      </w:r>
      <w:r w:rsidRPr="0019241C">
        <w:rPr>
          <w:rFonts w:ascii="Times New Roman" w:hAnsi="Times New Roman"/>
          <w:iCs/>
          <w:sz w:val="28"/>
          <w:szCs w:val="28"/>
        </w:rPr>
        <w:t>Г</w:t>
      </w:r>
      <w:r w:rsidRPr="0019241C">
        <w:rPr>
          <w:rFonts w:ascii="Times New Roman" w:hAnsi="Times New Roman"/>
          <w:sz w:val="28"/>
          <w:szCs w:val="28"/>
        </w:rPr>
        <w:t xml:space="preserve">–5,6                    </w:t>
      </w:r>
      <w:r w:rsidRPr="0019241C">
        <w:rPr>
          <w:rFonts w:ascii="Times New Roman" w:hAnsi="Times New Roman"/>
          <w:iCs/>
          <w:sz w:val="28"/>
          <w:szCs w:val="28"/>
        </w:rPr>
        <w:t>r</w:t>
      </w:r>
      <w:r w:rsidRPr="0019241C">
        <w:rPr>
          <w:rFonts w:ascii="Times New Roman" w:hAnsi="Times New Roman"/>
          <w:sz w:val="28"/>
          <w:szCs w:val="28"/>
        </w:rPr>
        <w:t xml:space="preserve"> = 0,9±0,04,                           (1)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6262" w:rsidRPr="0019241C" w:rsidRDefault="002E6262" w:rsidP="002E6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де </w:t>
      </w:r>
      <w:r w:rsidRPr="0019241C">
        <w:rPr>
          <w:rFonts w:ascii="Times New Roman" w:hAnsi="Times New Roman"/>
          <w:iCs/>
          <w:sz w:val="28"/>
          <w:szCs w:val="28"/>
        </w:rPr>
        <w:t>r</w:t>
      </w:r>
      <w:r w:rsidRPr="0019241C">
        <w:rPr>
          <w:rFonts w:ascii="Times New Roman" w:hAnsi="Times New Roman"/>
          <w:sz w:val="28"/>
          <w:szCs w:val="28"/>
        </w:rPr>
        <w:t xml:space="preserve"> – коефіцієнт кореляції та його похибка.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>Із рівняння 2 видно, що чим вище вміст гумусу в орному шарі, тим більше в ньому агрегованих часток. Відтак чим більше агрегованих ґрунтових часток, тим вище водопроникність ґрунту (</w:t>
      </w:r>
      <w:r w:rsidRPr="0019241C">
        <w:rPr>
          <w:rFonts w:ascii="Times New Roman" w:hAnsi="Times New Roman"/>
          <w:iCs/>
          <w:sz w:val="28"/>
          <w:szCs w:val="28"/>
        </w:rPr>
        <w:t>І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в</w:t>
      </w:r>
      <w:r w:rsidRPr="0019241C">
        <w:rPr>
          <w:rFonts w:ascii="Times New Roman" w:hAnsi="Times New Roman"/>
          <w:sz w:val="28"/>
          <w:szCs w:val="28"/>
        </w:rPr>
        <w:t xml:space="preserve">, мм/год): 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iCs/>
          <w:sz w:val="28"/>
          <w:szCs w:val="28"/>
        </w:rPr>
        <w:t xml:space="preserve">                        І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в</w:t>
      </w:r>
      <w:r w:rsidRPr="0019241C">
        <w:rPr>
          <w:rFonts w:ascii="Times New Roman" w:hAnsi="Times New Roman"/>
          <w:iCs/>
          <w:sz w:val="28"/>
          <w:szCs w:val="28"/>
        </w:rPr>
        <w:t xml:space="preserve"> = </w:t>
      </w:r>
      <w:r w:rsidRPr="0019241C">
        <w:rPr>
          <w:rFonts w:ascii="Times New Roman" w:hAnsi="Times New Roman"/>
          <w:sz w:val="28"/>
          <w:szCs w:val="28"/>
        </w:rPr>
        <w:t>0,024*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K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а</w:t>
      </w:r>
      <w:proofErr w:type="spellEnd"/>
      <w:r w:rsidRPr="0019241C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Pr="0019241C">
        <w:rPr>
          <w:rFonts w:ascii="Times New Roman" w:hAnsi="Times New Roman"/>
          <w:sz w:val="28"/>
          <w:szCs w:val="28"/>
        </w:rPr>
        <w:t xml:space="preserve">– 0,33            при 14 &lt; 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K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a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&lt; 77</w:t>
      </w:r>
      <w:r w:rsidRPr="0019241C">
        <w:rPr>
          <w:rFonts w:ascii="Times New Roman" w:hAnsi="Times New Roman"/>
          <w:iCs/>
          <w:sz w:val="28"/>
          <w:szCs w:val="28"/>
        </w:rPr>
        <w:t>%</w:t>
      </w:r>
      <w:r w:rsidRPr="0019241C">
        <w:rPr>
          <w:rFonts w:ascii="Times New Roman" w:hAnsi="Times New Roman"/>
          <w:sz w:val="28"/>
          <w:szCs w:val="28"/>
        </w:rPr>
        <w:t xml:space="preserve">                    (2)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Ерозійні процеси сприяють збільшенню вмісту неагрегованих ґрунтових часток, що призводить відповідно до другого закону термодинаміки до збільшення ентропії ґрунту та зниження стійкості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агроекосистеми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. Тому для аналізу мінімальних і максимальних навантажень на ґрунт може використовуватися принцип «золотого перерізу», якому підпорядковуються екосистеми з високим ступенем упорядкованості складових елементів, тобто з </w:t>
      </w:r>
      <w:r w:rsidRPr="0019241C">
        <w:rPr>
          <w:rFonts w:ascii="Times New Roman" w:hAnsi="Times New Roman"/>
          <w:sz w:val="28"/>
          <w:szCs w:val="28"/>
        </w:rPr>
        <w:lastRenderedPageBreak/>
        <w:t xml:space="preserve">мінімальним значенням ентропії. Для стійкої екосистеми відносна ентропія (мінімальна ентропія 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E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min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віднесена до максимальної 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E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max</w:t>
      </w:r>
      <w:proofErr w:type="spellEnd"/>
      <w:r w:rsidRPr="0019241C">
        <w:rPr>
          <w:rFonts w:ascii="Times New Roman" w:hAnsi="Times New Roman"/>
          <w:sz w:val="28"/>
          <w:szCs w:val="28"/>
        </w:rPr>
        <w:t>) відповідає «золотому перерізу» і дорівнює 0,382.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6262" w:rsidRPr="0019241C" w:rsidRDefault="002E6262" w:rsidP="002E626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max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=0,382</m:t>
        </m:r>
      </m:oMath>
      <w:r w:rsidRPr="0019241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(3)</w:t>
      </w:r>
    </w:p>
    <w:p w:rsidR="002E6262" w:rsidRPr="0019241C" w:rsidRDefault="002E6262" w:rsidP="002E626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>Це означає, що природно-антропогенна система досягне стійкості тоді, коли ступінь безладдя (площа сільгоспугідь) становитиме 0,382 (38,2</w:t>
      </w:r>
      <w:r w:rsidRPr="0019241C">
        <w:rPr>
          <w:rFonts w:ascii="Times New Roman" w:hAnsi="Times New Roman"/>
          <w:iCs/>
          <w:sz w:val="28"/>
          <w:szCs w:val="28"/>
        </w:rPr>
        <w:t>%</w:t>
      </w:r>
      <w:r w:rsidRPr="0019241C">
        <w:rPr>
          <w:rFonts w:ascii="Times New Roman" w:hAnsi="Times New Roman"/>
          <w:sz w:val="28"/>
          <w:szCs w:val="28"/>
        </w:rPr>
        <w:t>) від цілого, а ступінь упорядкованості (площа природних територій – 0,618 (61,8</w:t>
      </w:r>
      <w:r w:rsidRPr="0019241C">
        <w:rPr>
          <w:rFonts w:ascii="Times New Roman" w:hAnsi="Times New Roman"/>
          <w:iCs/>
          <w:sz w:val="28"/>
          <w:szCs w:val="28"/>
        </w:rPr>
        <w:t>%</w:t>
      </w:r>
      <w:r w:rsidRPr="0019241C">
        <w:rPr>
          <w:rFonts w:ascii="Times New Roman" w:hAnsi="Times New Roman"/>
          <w:sz w:val="28"/>
          <w:szCs w:val="28"/>
        </w:rPr>
        <w:t>).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Виходячи з цього, ріллю можна розглядати як дезорганізуючий чинник, тобто зі збільшенням розораності території її ентропія зростає. 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>Наприклад, залежність площі еродованих чорноземних і сірих лісових ґрунтів (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F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e</w:t>
      </w:r>
      <w:proofErr w:type="spellEnd"/>
      <w:r w:rsidRPr="0019241C">
        <w:rPr>
          <w:rFonts w:ascii="Times New Roman" w:hAnsi="Times New Roman"/>
          <w:sz w:val="28"/>
          <w:szCs w:val="28"/>
        </w:rPr>
        <w:t>) від частки площі ріллі на схилі понад 2</w:t>
      </w:r>
      <w:r w:rsidRPr="0019241C">
        <w:rPr>
          <w:rFonts w:ascii="Times New Roman" w:hAnsi="Times New Roman"/>
          <w:sz w:val="28"/>
          <w:szCs w:val="28"/>
          <w:vertAlign w:val="superscript"/>
        </w:rPr>
        <w:t>0</w:t>
      </w:r>
      <w:r w:rsidRPr="0019241C">
        <w:rPr>
          <w:rFonts w:ascii="Times New Roman" w:hAnsi="Times New Roman"/>
          <w:sz w:val="28"/>
          <w:szCs w:val="28"/>
        </w:rPr>
        <w:t xml:space="preserve"> (</w:t>
      </w:r>
      <w:r w:rsidRPr="0019241C">
        <w:rPr>
          <w:rFonts w:ascii="Times New Roman" w:hAnsi="Times New Roman"/>
          <w:iCs/>
          <w:sz w:val="28"/>
          <w:szCs w:val="28"/>
        </w:rPr>
        <w:t>F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1&gt;2</w:t>
      </w:r>
      <w:r w:rsidRPr="0019241C">
        <w:rPr>
          <w:rFonts w:ascii="Times New Roman" w:hAnsi="Times New Roman"/>
          <w:sz w:val="28"/>
          <w:szCs w:val="28"/>
        </w:rPr>
        <w:t xml:space="preserve">) виражається рівнянням: 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iCs/>
          <w:sz w:val="28"/>
          <w:szCs w:val="28"/>
        </w:rPr>
        <w:t xml:space="preserve">                   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F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e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= 0,509*</w:t>
      </w:r>
      <w:r w:rsidRPr="0019241C">
        <w:rPr>
          <w:rFonts w:ascii="Times New Roman" w:hAnsi="Times New Roman"/>
          <w:iCs/>
          <w:sz w:val="28"/>
          <w:szCs w:val="28"/>
        </w:rPr>
        <w:t xml:space="preserve"> F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1&gt;2</w:t>
      </w:r>
      <w:r w:rsidRPr="0019241C">
        <w:rPr>
          <w:rFonts w:ascii="Times New Roman" w:hAnsi="Times New Roman"/>
          <w:sz w:val="28"/>
          <w:szCs w:val="28"/>
        </w:rPr>
        <w:t xml:space="preserve">+4,1                    r = 0,77±0,05                          (4) 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Високий коефіцієнт кореляції рівняння засвідчує, що еродованість ґрунтів є результатом надмірної розораності екологічно небезпечних в ерозійному відношенні схилів. Ці розрахунки показують, що радикальне скорочення площі ріллі неминуче і слугуватиме виправленням помилок, допущених раніше. 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D5D">
        <w:rPr>
          <w:rFonts w:ascii="Times New Roman" w:hAnsi="Times New Roman"/>
          <w:spacing w:val="-4"/>
          <w:sz w:val="28"/>
          <w:szCs w:val="28"/>
        </w:rPr>
        <w:t>Західні країни в умовах посиленої ерозії неодноразово скорочували площі орних земель. Наприклад, Швеція на 11</w:t>
      </w:r>
      <w:r w:rsidRPr="00AB7D5D">
        <w:rPr>
          <w:rFonts w:ascii="Times New Roman" w:hAnsi="Times New Roman"/>
          <w:iCs/>
          <w:spacing w:val="-4"/>
          <w:sz w:val="28"/>
          <w:szCs w:val="28"/>
        </w:rPr>
        <w:t>%</w:t>
      </w:r>
      <w:r w:rsidRPr="00AB7D5D">
        <w:rPr>
          <w:rFonts w:ascii="Times New Roman" w:hAnsi="Times New Roman"/>
          <w:spacing w:val="-4"/>
          <w:sz w:val="28"/>
          <w:szCs w:val="28"/>
        </w:rPr>
        <w:t xml:space="preserve"> у 1940 р., США на 8 та 11</w:t>
      </w:r>
      <w:r w:rsidRPr="00AB7D5D">
        <w:rPr>
          <w:rFonts w:ascii="Times New Roman" w:hAnsi="Times New Roman"/>
          <w:iCs/>
          <w:spacing w:val="-4"/>
          <w:sz w:val="28"/>
          <w:szCs w:val="28"/>
        </w:rPr>
        <w:t>%</w:t>
      </w:r>
      <w:r w:rsidRPr="00AB7D5D">
        <w:rPr>
          <w:rFonts w:ascii="Times New Roman" w:hAnsi="Times New Roman"/>
          <w:spacing w:val="-4"/>
          <w:sz w:val="28"/>
          <w:szCs w:val="28"/>
        </w:rPr>
        <w:t xml:space="preserve"> у 1936 та 1985 рр. Сучасна розораність території доведена в Польщі до 36,5</w:t>
      </w:r>
      <w:r w:rsidRPr="00AB7D5D">
        <w:rPr>
          <w:rFonts w:ascii="Times New Roman" w:hAnsi="Times New Roman"/>
          <w:iCs/>
          <w:spacing w:val="-4"/>
          <w:sz w:val="28"/>
          <w:szCs w:val="28"/>
        </w:rPr>
        <w:t>%</w:t>
      </w:r>
      <w:r w:rsidRPr="00AB7D5D">
        <w:rPr>
          <w:rFonts w:ascii="Times New Roman" w:hAnsi="Times New Roman"/>
          <w:spacing w:val="-4"/>
          <w:sz w:val="28"/>
          <w:szCs w:val="28"/>
        </w:rPr>
        <w:t>, у     Франції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41C">
        <w:rPr>
          <w:rFonts w:ascii="Times New Roman" w:hAnsi="Times New Roman"/>
          <w:sz w:val="28"/>
          <w:szCs w:val="28"/>
        </w:rPr>
        <w:t>до 33,5</w:t>
      </w:r>
      <w:r w:rsidRPr="0019241C">
        <w:rPr>
          <w:rFonts w:ascii="Times New Roman" w:hAnsi="Times New Roman"/>
          <w:iCs/>
          <w:sz w:val="28"/>
          <w:szCs w:val="28"/>
        </w:rPr>
        <w:t>%</w:t>
      </w:r>
      <w:r w:rsidRPr="0019241C">
        <w:rPr>
          <w:rFonts w:ascii="Times New Roman" w:hAnsi="Times New Roman"/>
          <w:sz w:val="28"/>
          <w:szCs w:val="28"/>
        </w:rPr>
        <w:t>, у К</w:t>
      </w:r>
      <w:r>
        <w:rPr>
          <w:rFonts w:ascii="Times New Roman" w:hAnsi="Times New Roman"/>
          <w:sz w:val="28"/>
          <w:szCs w:val="28"/>
        </w:rPr>
        <w:t>и</w:t>
      </w:r>
      <w:r w:rsidRPr="0019241C">
        <w:rPr>
          <w:rFonts w:ascii="Times New Roman" w:hAnsi="Times New Roman"/>
          <w:sz w:val="28"/>
          <w:szCs w:val="28"/>
        </w:rPr>
        <w:t>таї – до 12</w:t>
      </w:r>
      <w:r w:rsidRPr="0019241C">
        <w:rPr>
          <w:rFonts w:ascii="Times New Roman" w:hAnsi="Times New Roman"/>
          <w:iCs/>
          <w:sz w:val="28"/>
          <w:szCs w:val="28"/>
        </w:rPr>
        <w:t xml:space="preserve">%, </w:t>
      </w:r>
      <w:r w:rsidRPr="0019241C">
        <w:rPr>
          <w:rFonts w:ascii="Times New Roman" w:hAnsi="Times New Roman"/>
          <w:sz w:val="28"/>
          <w:szCs w:val="28"/>
        </w:rPr>
        <w:t xml:space="preserve"> у США – до 25%</w:t>
      </w:r>
      <w:r w:rsidRPr="0019241C">
        <w:rPr>
          <w:rFonts w:ascii="Times New Roman" w:hAnsi="Times New Roman"/>
          <w:iCs/>
          <w:sz w:val="28"/>
          <w:szCs w:val="28"/>
        </w:rPr>
        <w:t xml:space="preserve"> (табл. 1).</w:t>
      </w:r>
      <w:r w:rsidRPr="0019241C">
        <w:rPr>
          <w:rFonts w:ascii="Times New Roman" w:hAnsi="Times New Roman"/>
          <w:sz w:val="28"/>
          <w:szCs w:val="28"/>
        </w:rPr>
        <w:t xml:space="preserve">  Нині розораність сільськогосподарських угідь в Україні становить до 85%, а в деяких областях, переважно лісостепової зони, цей показник перевищує 95%. </w:t>
      </w:r>
    </w:p>
    <w:p w:rsidR="002E6262" w:rsidRPr="0019241C" w:rsidRDefault="002E6262" w:rsidP="002E6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>Таблиця 1 – Розораність території та сільськогосподарських угідь  в різних країнах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814"/>
        <w:gridCol w:w="4270"/>
      </w:tblGrid>
      <w:tr w:rsidR="002E6262" w:rsidRPr="0019241C" w:rsidTr="00AE03F3">
        <w:trPr>
          <w:trHeight w:val="25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62" w:rsidRPr="0019241C" w:rsidRDefault="002E6262" w:rsidP="00AE03F3">
            <w:pPr>
              <w:spacing w:after="0" w:line="216" w:lineRule="auto"/>
              <w:ind w:left="51"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Країна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62" w:rsidRPr="0019241C" w:rsidRDefault="002E6262" w:rsidP="00AE03F3">
            <w:pPr>
              <w:spacing w:after="0" w:line="216" w:lineRule="auto"/>
              <w:ind w:left="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Розораність території, %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Розораність</w:t>
            </w:r>
          </w:p>
          <w:p w:rsidR="002E6262" w:rsidRPr="0019241C" w:rsidRDefault="002E6262" w:rsidP="00AE03F3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сільськогосподарських угідь</w:t>
            </w:r>
          </w:p>
        </w:tc>
      </w:tr>
      <w:tr w:rsidR="002E6262" w:rsidRPr="0019241C" w:rsidTr="00AE03F3">
        <w:trPr>
          <w:trHeight w:val="1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 xml:space="preserve">Україна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53,9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</w:tr>
      <w:tr w:rsidR="002E6262" w:rsidRPr="0019241C" w:rsidTr="00AE03F3">
        <w:trPr>
          <w:trHeight w:val="14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 xml:space="preserve">Польща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</w:tr>
      <w:tr w:rsidR="002E6262" w:rsidRPr="0019241C" w:rsidTr="00AE03F3">
        <w:trPr>
          <w:trHeight w:val="15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 xml:space="preserve">Німеччина 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2E6262" w:rsidRPr="0019241C" w:rsidTr="00AE03F3">
        <w:trPr>
          <w:trHeight w:val="1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 xml:space="preserve">Канада 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68,6</w:t>
            </w:r>
          </w:p>
        </w:tc>
      </w:tr>
      <w:tr w:rsidR="002E6262" w:rsidRPr="0019241C" w:rsidTr="00AE03F3">
        <w:trPr>
          <w:trHeight w:val="14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 xml:space="preserve">Франція 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63,1</w:t>
            </w:r>
          </w:p>
        </w:tc>
      </w:tr>
      <w:tr w:rsidR="002E6262" w:rsidRPr="0019241C" w:rsidTr="00AE03F3">
        <w:trPr>
          <w:trHeight w:val="18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 xml:space="preserve">Нідерланди 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2E6262" w:rsidRPr="0019241C" w:rsidTr="00AE03F3">
        <w:trPr>
          <w:trHeight w:val="11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 xml:space="preserve">Австрія 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47,5</w:t>
            </w:r>
          </w:p>
        </w:tc>
      </w:tr>
      <w:tr w:rsidR="002E6262" w:rsidRPr="0019241C" w:rsidTr="00AE03F3">
        <w:trPr>
          <w:trHeight w:val="15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 xml:space="preserve">США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38,9</w:t>
            </w:r>
          </w:p>
        </w:tc>
      </w:tr>
      <w:tr w:rsidR="002E6262" w:rsidRPr="0019241C" w:rsidTr="00AE03F3">
        <w:trPr>
          <w:trHeight w:val="157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 xml:space="preserve">Велика Британія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35,3</w:t>
            </w:r>
          </w:p>
        </w:tc>
      </w:tr>
      <w:tr w:rsidR="002E6262" w:rsidRPr="0019241C" w:rsidTr="00AE03F3">
        <w:trPr>
          <w:trHeight w:val="14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 xml:space="preserve">Китай  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firstLine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62" w:rsidRPr="0019241C" w:rsidRDefault="002E6262" w:rsidP="00AE03F3">
            <w:pPr>
              <w:spacing w:after="0" w:line="216" w:lineRule="auto"/>
              <w:ind w:left="51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</w:tr>
    </w:tbl>
    <w:p w:rsidR="002E6262" w:rsidRPr="0019241C" w:rsidRDefault="002E6262" w:rsidP="002E6262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lastRenderedPageBreak/>
        <w:t xml:space="preserve"> Вирішення проблеми оптимального співвідношення природних і сільгоспугідь має ґрунтуватися на тому, що для кожного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агроландшафтного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регіону співвідношення природно-антропогенних угідь суворо індивідуальне; вибір територіальної одиниці для проведення аналізу визначається поставленою метою; важливо не тільки встановити оптимальне співвідношення угідь, але й мінімально необхідну площу індивідуального природного біогеоценозу.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Однією з основних умов формування екологічно безпечних природно-антропогенних ландшафтів є положення про те, щоб середньозважені в ландшафті величини </w:t>
      </w:r>
      <w:proofErr w:type="spellStart"/>
      <w:r w:rsidRPr="0019241C">
        <w:rPr>
          <w:rFonts w:ascii="Times New Roman" w:hAnsi="Times New Roman"/>
          <w:sz w:val="28"/>
          <w:szCs w:val="28"/>
        </w:rPr>
        <w:t>середньобагаторічного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стоку </w:t>
      </w:r>
      <w:r w:rsidRPr="0019241C">
        <w:rPr>
          <w:rFonts w:ascii="Times New Roman" w:hAnsi="Times New Roman"/>
          <w:iCs/>
          <w:sz w:val="28"/>
          <w:szCs w:val="28"/>
        </w:rPr>
        <w:t>Н</w:t>
      </w:r>
      <w:r w:rsidRPr="0019241C">
        <w:rPr>
          <w:rFonts w:ascii="Times New Roman" w:hAnsi="Times New Roman"/>
          <w:sz w:val="28"/>
          <w:szCs w:val="28"/>
        </w:rPr>
        <w:t xml:space="preserve"> (мм) і змиву ґрунту </w:t>
      </w:r>
      <w:r w:rsidRPr="0019241C">
        <w:rPr>
          <w:rFonts w:ascii="Times New Roman" w:hAnsi="Times New Roman"/>
          <w:iCs/>
          <w:sz w:val="28"/>
          <w:szCs w:val="28"/>
        </w:rPr>
        <w:t>М</w:t>
      </w:r>
      <w:r w:rsidRPr="0019241C">
        <w:rPr>
          <w:rFonts w:ascii="Times New Roman" w:hAnsi="Times New Roman"/>
          <w:sz w:val="28"/>
          <w:szCs w:val="28"/>
        </w:rPr>
        <w:t xml:space="preserve"> (т/га) дорівнювали (або були нижчими) допустимому стоку 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dH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(мм) і допустимим ерозійним втратам ґрунту 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dM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(т/га рік): 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6262" w:rsidRPr="0019241C" w:rsidRDefault="009E3920" w:rsidP="002E6262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≤dH                                   (5)</m:t>
          </m:r>
        </m:oMath>
      </m:oMathPara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E6262" w:rsidRPr="0019241C" w:rsidRDefault="009E3920" w:rsidP="002E62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≤dM                                  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e>
          </m:d>
        </m:oMath>
      </m:oMathPara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E6262" w:rsidRPr="005C5E45" w:rsidRDefault="002E6262" w:rsidP="002E6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iCs/>
          <w:sz w:val="28"/>
          <w:szCs w:val="28"/>
        </w:rPr>
        <w:t>де</w:t>
      </w:r>
      <w:r w:rsidRPr="00192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41C">
        <w:rPr>
          <w:rFonts w:ascii="Times New Roman" w:hAnsi="Times New Roman"/>
          <w:sz w:val="28"/>
          <w:szCs w:val="28"/>
        </w:rPr>
        <w:t>f</w:t>
      </w:r>
      <w:r w:rsidRPr="0019241C">
        <w:rPr>
          <w:rFonts w:ascii="Times New Roman" w:hAnsi="Times New Roman"/>
          <w:sz w:val="28"/>
          <w:szCs w:val="28"/>
          <w:vertAlign w:val="subscript"/>
        </w:rPr>
        <w:t>p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241C">
        <w:rPr>
          <w:rFonts w:ascii="Times New Roman" w:hAnsi="Times New Roman"/>
          <w:sz w:val="28"/>
          <w:szCs w:val="28"/>
        </w:rPr>
        <w:t>f</w:t>
      </w:r>
      <w:r w:rsidRPr="0019241C">
        <w:rPr>
          <w:rFonts w:ascii="Times New Roman" w:hAnsi="Times New Roman"/>
          <w:sz w:val="28"/>
          <w:szCs w:val="28"/>
          <w:vertAlign w:val="subscript"/>
        </w:rPr>
        <w:t>л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241C">
        <w:rPr>
          <w:rFonts w:ascii="Times New Roman" w:hAnsi="Times New Roman"/>
          <w:sz w:val="28"/>
          <w:szCs w:val="28"/>
        </w:rPr>
        <w:t>f</w:t>
      </w:r>
      <w:r w:rsidRPr="0019241C">
        <w:rPr>
          <w:rFonts w:ascii="Times New Roman" w:hAnsi="Times New Roman"/>
          <w:sz w:val="28"/>
          <w:szCs w:val="28"/>
          <w:vertAlign w:val="subscript"/>
        </w:rPr>
        <w:t>ц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– відповідно площа ріллі, лісу й лісонасаджень, цілини , </w:t>
      </w:r>
      <w:r w:rsidRPr="0019241C">
        <w:rPr>
          <w:rFonts w:ascii="Times New Roman" w:hAnsi="Times New Roman"/>
          <w:iCs/>
          <w:sz w:val="28"/>
          <w:szCs w:val="28"/>
        </w:rPr>
        <w:t>%</w:t>
      </w:r>
      <w:r w:rsidRPr="0019241C">
        <w:rPr>
          <w:rFonts w:ascii="Times New Roman" w:hAnsi="Times New Roman"/>
          <w:sz w:val="28"/>
          <w:szCs w:val="28"/>
        </w:rPr>
        <w:t xml:space="preserve"> або га; </w:t>
      </w:r>
    </w:p>
    <w:p w:rsidR="002E6262" w:rsidRPr="005C5E45" w:rsidRDefault="002E6262" w:rsidP="002E6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41C">
        <w:rPr>
          <w:rFonts w:ascii="Times New Roman" w:hAnsi="Times New Roman"/>
          <w:iCs/>
          <w:sz w:val="28"/>
          <w:szCs w:val="28"/>
        </w:rPr>
        <w:t>H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p</w:t>
      </w:r>
      <w:proofErr w:type="spellEnd"/>
      <w:r w:rsidRPr="0019241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H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л</w:t>
      </w:r>
      <w:proofErr w:type="spellEnd"/>
      <w:r w:rsidRPr="0019241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H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ц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9241C">
        <w:rPr>
          <w:rFonts w:ascii="Times New Roman" w:hAnsi="Times New Roman"/>
          <w:sz w:val="28"/>
          <w:szCs w:val="28"/>
        </w:rPr>
        <w:t>середньобагаторічний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стік із цих угідь, мм; </w:t>
      </w:r>
    </w:p>
    <w:p w:rsidR="002E6262" w:rsidRPr="0019241C" w:rsidRDefault="002E6262" w:rsidP="002E6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41C">
        <w:rPr>
          <w:rFonts w:ascii="Times New Roman" w:hAnsi="Times New Roman"/>
          <w:iCs/>
          <w:sz w:val="28"/>
          <w:szCs w:val="28"/>
        </w:rPr>
        <w:t>M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p</w:t>
      </w:r>
      <w:proofErr w:type="spellEnd"/>
      <w:r w:rsidRPr="0019241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M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л</w:t>
      </w:r>
      <w:proofErr w:type="spellEnd"/>
      <w:r w:rsidRPr="0019241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M</w:t>
      </w:r>
      <w:r w:rsidRPr="0019241C">
        <w:rPr>
          <w:rFonts w:ascii="Times New Roman" w:hAnsi="Times New Roman"/>
          <w:iCs/>
          <w:sz w:val="28"/>
          <w:szCs w:val="28"/>
          <w:vertAlign w:val="subscript"/>
        </w:rPr>
        <w:t>ц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9241C">
        <w:rPr>
          <w:rFonts w:ascii="Times New Roman" w:hAnsi="Times New Roman"/>
          <w:sz w:val="28"/>
          <w:szCs w:val="28"/>
        </w:rPr>
        <w:t>середньобагаторічний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змив із ріллі, </w:t>
      </w:r>
      <w:proofErr w:type="spellStart"/>
      <w:r w:rsidRPr="0019241C">
        <w:rPr>
          <w:rFonts w:ascii="Times New Roman" w:hAnsi="Times New Roman"/>
          <w:sz w:val="28"/>
          <w:szCs w:val="28"/>
        </w:rPr>
        <w:t>лісовкритих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територій та цілини, т/га.</w:t>
      </w:r>
    </w:p>
    <w:p w:rsidR="002E6262" w:rsidRPr="0019241C" w:rsidRDefault="002E6262" w:rsidP="002E6262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241C">
        <w:rPr>
          <w:rFonts w:ascii="Times New Roman" w:hAnsi="Times New Roman"/>
          <w:b/>
          <w:sz w:val="28"/>
          <w:szCs w:val="28"/>
          <w:lang w:eastAsia="ru-RU"/>
        </w:rPr>
        <w:t>Завдання до лабораторної роботи</w:t>
      </w: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19241C">
        <w:rPr>
          <w:rFonts w:ascii="Times New Roman" w:eastAsia="Times New Roman" w:hAnsi="Times New Roman"/>
          <w:b/>
          <w:sz w:val="28"/>
          <w:szCs w:val="28"/>
          <w:lang w:eastAsia="ru-RU"/>
        </w:rPr>
        <w:t>Завдання  1</w:t>
      </w: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Pr="0019241C">
        <w:rPr>
          <w:rFonts w:ascii="Times New Roman" w:hAnsi="Times New Roman"/>
          <w:iCs/>
          <w:sz w:val="28"/>
          <w:szCs w:val="28"/>
        </w:rPr>
        <w:t>Встановити нормативи оптимального співвідношення природно-сільськогосподарських угідь у фермерському господарстві на основі  вихідних даних (табл. 2-4).</w:t>
      </w:r>
    </w:p>
    <w:p w:rsidR="002E6262" w:rsidRPr="0019241C" w:rsidRDefault="002E6262" w:rsidP="002E626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19241C">
        <w:rPr>
          <w:rFonts w:ascii="Times New Roman" w:hAnsi="Times New Roman"/>
          <w:iCs/>
          <w:sz w:val="28"/>
          <w:szCs w:val="28"/>
        </w:rPr>
        <w:t xml:space="preserve">Таблиця 2 </w:t>
      </w:r>
      <w:r w:rsidRPr="0019241C">
        <w:rPr>
          <w:rFonts w:ascii="Times New Roman" w:hAnsi="Times New Roman"/>
          <w:sz w:val="28"/>
          <w:szCs w:val="28"/>
        </w:rPr>
        <w:t xml:space="preserve">– </w:t>
      </w:r>
      <w:r w:rsidRPr="0019241C">
        <w:rPr>
          <w:rFonts w:ascii="Times New Roman" w:hAnsi="Times New Roman"/>
          <w:iCs/>
          <w:sz w:val="28"/>
          <w:szCs w:val="28"/>
        </w:rPr>
        <w:t xml:space="preserve">Структура земельного фонду фермерського господарства на чорноземі 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сильновилугованому</w:t>
      </w:r>
      <w:proofErr w:type="spellEnd"/>
      <w:r w:rsidRPr="0019241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малогумусному</w:t>
      </w:r>
      <w:proofErr w:type="spellEnd"/>
      <w:r w:rsidRPr="0019241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важкосуглинковому</w:t>
      </w:r>
      <w:proofErr w:type="spellEnd"/>
    </w:p>
    <w:p w:rsidR="002E6262" w:rsidRPr="0019241C" w:rsidRDefault="002E6262" w:rsidP="002E6262">
      <w:pPr>
        <w:spacing w:after="0" w:line="240" w:lineRule="auto"/>
        <w:ind w:firstLine="708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2920"/>
        <w:gridCol w:w="2129"/>
        <w:gridCol w:w="3270"/>
      </w:tblGrid>
      <w:tr w:rsidR="002E6262" w:rsidRPr="0019241C" w:rsidTr="00AE03F3">
        <w:trPr>
          <w:trHeight w:val="319"/>
        </w:trPr>
        <w:tc>
          <w:tcPr>
            <w:tcW w:w="3827" w:type="dxa"/>
            <w:gridSpan w:val="2"/>
            <w:vMerge w:val="restart"/>
          </w:tcPr>
          <w:p w:rsidR="002E6262" w:rsidRPr="0019241C" w:rsidRDefault="002E6262" w:rsidP="00AE03F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bCs/>
                <w:iCs/>
                <w:sz w:val="28"/>
                <w:szCs w:val="28"/>
              </w:rPr>
              <w:t>Види угідь</w:t>
            </w:r>
          </w:p>
        </w:tc>
        <w:tc>
          <w:tcPr>
            <w:tcW w:w="5399" w:type="dxa"/>
            <w:gridSpan w:val="2"/>
          </w:tcPr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Площа, </w:t>
            </w:r>
            <w:r w:rsidRPr="0019241C">
              <w:rPr>
                <w:rFonts w:ascii="Times New Roman" w:hAnsi="Times New Roman"/>
                <w:bCs/>
                <w:sz w:val="28"/>
                <w:szCs w:val="28"/>
              </w:rPr>
              <w:t>f</w:t>
            </w:r>
          </w:p>
        </w:tc>
      </w:tr>
      <w:tr w:rsidR="002E6262" w:rsidRPr="0019241C" w:rsidTr="00AE03F3">
        <w:trPr>
          <w:trHeight w:val="285"/>
        </w:trPr>
        <w:tc>
          <w:tcPr>
            <w:tcW w:w="3827" w:type="dxa"/>
            <w:gridSpan w:val="2"/>
            <w:vMerge/>
          </w:tcPr>
          <w:p w:rsidR="002E6262" w:rsidRPr="0019241C" w:rsidRDefault="002E6262" w:rsidP="00AE03F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9" w:type="dxa"/>
          </w:tcPr>
          <w:p w:rsidR="002E6262" w:rsidRPr="0019241C" w:rsidRDefault="002E6262" w:rsidP="00AE03F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bCs/>
                <w:iCs/>
                <w:sz w:val="28"/>
                <w:szCs w:val="28"/>
              </w:rPr>
              <w:t>га</w:t>
            </w:r>
          </w:p>
        </w:tc>
        <w:tc>
          <w:tcPr>
            <w:tcW w:w="3270" w:type="dxa"/>
          </w:tcPr>
          <w:p w:rsidR="002E6262" w:rsidRPr="0019241C" w:rsidRDefault="002E6262" w:rsidP="00AE03F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2E6262" w:rsidRPr="0019241C" w:rsidTr="00AE03F3">
        <w:trPr>
          <w:trHeight w:val="299"/>
        </w:trPr>
        <w:tc>
          <w:tcPr>
            <w:tcW w:w="907" w:type="dxa"/>
            <w:vMerge w:val="restart"/>
          </w:tcPr>
          <w:p w:rsidR="002E6262" w:rsidRPr="0019241C" w:rsidRDefault="002E6262" w:rsidP="00AE03F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E6262" w:rsidRPr="0019241C" w:rsidRDefault="002E6262" w:rsidP="00AE03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Рілля</w:t>
            </w:r>
          </w:p>
        </w:tc>
        <w:tc>
          <w:tcPr>
            <w:tcW w:w="2920" w:type="dxa"/>
          </w:tcPr>
          <w:p w:rsidR="002E6262" w:rsidRPr="0019241C" w:rsidRDefault="002E6262" w:rsidP="00AE03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слабозмита</w:t>
            </w:r>
            <w:proofErr w:type="spellEnd"/>
          </w:p>
        </w:tc>
        <w:tc>
          <w:tcPr>
            <w:tcW w:w="2129" w:type="dxa"/>
          </w:tcPr>
          <w:p w:rsidR="002E6262" w:rsidRPr="0019241C" w:rsidRDefault="002E6262" w:rsidP="00AE03F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461</w:t>
            </w:r>
          </w:p>
        </w:tc>
        <w:tc>
          <w:tcPr>
            <w:tcW w:w="3270" w:type="dxa"/>
          </w:tcPr>
          <w:p w:rsidR="002E6262" w:rsidRPr="0019241C" w:rsidRDefault="002E6262" w:rsidP="00AE03F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75,1</w:t>
            </w:r>
          </w:p>
        </w:tc>
      </w:tr>
      <w:tr w:rsidR="002E6262" w:rsidRPr="0019241C" w:rsidTr="00AE03F3">
        <w:trPr>
          <w:trHeight w:val="330"/>
        </w:trPr>
        <w:tc>
          <w:tcPr>
            <w:tcW w:w="907" w:type="dxa"/>
            <w:vMerge/>
          </w:tcPr>
          <w:p w:rsidR="002E6262" w:rsidRPr="0019241C" w:rsidRDefault="002E6262" w:rsidP="00AE03F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920" w:type="dxa"/>
          </w:tcPr>
          <w:p w:rsidR="002E6262" w:rsidRPr="0019241C" w:rsidRDefault="002E6262" w:rsidP="00AE03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середньозмита</w:t>
            </w:r>
            <w:proofErr w:type="spellEnd"/>
          </w:p>
        </w:tc>
        <w:tc>
          <w:tcPr>
            <w:tcW w:w="2129" w:type="dxa"/>
          </w:tcPr>
          <w:p w:rsidR="002E6262" w:rsidRPr="0019241C" w:rsidRDefault="002E6262" w:rsidP="00AE03F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34</w:t>
            </w:r>
          </w:p>
        </w:tc>
        <w:tc>
          <w:tcPr>
            <w:tcW w:w="3270" w:type="dxa"/>
          </w:tcPr>
          <w:p w:rsidR="002E6262" w:rsidRPr="0019241C" w:rsidRDefault="002E6262" w:rsidP="00AE03F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5,5</w:t>
            </w:r>
          </w:p>
        </w:tc>
      </w:tr>
      <w:tr w:rsidR="002E6262" w:rsidRPr="0019241C" w:rsidTr="00AE03F3">
        <w:trPr>
          <w:trHeight w:val="390"/>
        </w:trPr>
        <w:tc>
          <w:tcPr>
            <w:tcW w:w="3827" w:type="dxa"/>
            <w:gridSpan w:val="2"/>
          </w:tcPr>
          <w:p w:rsidR="002E6262" w:rsidRPr="0019241C" w:rsidRDefault="002E6262" w:rsidP="00AE03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Ліс і лісові насадження</w:t>
            </w:r>
          </w:p>
        </w:tc>
        <w:tc>
          <w:tcPr>
            <w:tcW w:w="2129" w:type="dxa"/>
          </w:tcPr>
          <w:p w:rsidR="002E6262" w:rsidRPr="0019241C" w:rsidRDefault="002E6262" w:rsidP="00AE03F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3270" w:type="dxa"/>
          </w:tcPr>
          <w:p w:rsidR="002E6262" w:rsidRPr="0019241C" w:rsidRDefault="002E6262" w:rsidP="00AE03F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0,5</w:t>
            </w:r>
          </w:p>
        </w:tc>
      </w:tr>
      <w:tr w:rsidR="002E6262" w:rsidRPr="0019241C" w:rsidTr="00AE03F3">
        <w:trPr>
          <w:trHeight w:val="435"/>
        </w:trPr>
        <w:tc>
          <w:tcPr>
            <w:tcW w:w="3827" w:type="dxa"/>
            <w:gridSpan w:val="2"/>
          </w:tcPr>
          <w:p w:rsidR="002E6262" w:rsidRPr="0019241C" w:rsidRDefault="002E6262" w:rsidP="00AE03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Цілина</w:t>
            </w:r>
          </w:p>
        </w:tc>
        <w:tc>
          <w:tcPr>
            <w:tcW w:w="2129" w:type="dxa"/>
          </w:tcPr>
          <w:p w:rsidR="002E6262" w:rsidRPr="0019241C" w:rsidRDefault="002E6262" w:rsidP="00AE03F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116</w:t>
            </w:r>
          </w:p>
        </w:tc>
        <w:tc>
          <w:tcPr>
            <w:tcW w:w="3270" w:type="dxa"/>
          </w:tcPr>
          <w:p w:rsidR="002E6262" w:rsidRPr="0019241C" w:rsidRDefault="002E6262" w:rsidP="00AE03F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18,9</w:t>
            </w:r>
          </w:p>
        </w:tc>
      </w:tr>
    </w:tbl>
    <w:p w:rsidR="002E6262" w:rsidRPr="0019241C" w:rsidRDefault="002E6262" w:rsidP="002E626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19241C">
        <w:rPr>
          <w:rFonts w:ascii="Times New Roman" w:hAnsi="Times New Roman"/>
          <w:iCs/>
          <w:sz w:val="28"/>
          <w:szCs w:val="28"/>
        </w:rPr>
        <w:t xml:space="preserve">Таблиця 3 </w:t>
      </w:r>
      <w:r w:rsidRPr="0019241C">
        <w:rPr>
          <w:rFonts w:ascii="Times New Roman" w:hAnsi="Times New Roman"/>
          <w:sz w:val="28"/>
          <w:szCs w:val="28"/>
        </w:rPr>
        <w:t xml:space="preserve">– </w:t>
      </w:r>
      <w:r w:rsidRPr="0019241C">
        <w:rPr>
          <w:rFonts w:ascii="Times New Roman" w:hAnsi="Times New Roman"/>
          <w:iCs/>
          <w:sz w:val="28"/>
          <w:szCs w:val="28"/>
        </w:rPr>
        <w:t xml:space="preserve"> Допустимий стік і допустимі ерозійні втрати ґрунту</w:t>
      </w:r>
    </w:p>
    <w:tbl>
      <w:tblPr>
        <w:tblpPr w:leftFromText="180" w:rightFromText="180" w:vertAnchor="text" w:tblpX="428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6"/>
        <w:gridCol w:w="3105"/>
        <w:gridCol w:w="3030"/>
      </w:tblGrid>
      <w:tr w:rsidR="002E6262" w:rsidRPr="0019241C" w:rsidTr="00AE03F3">
        <w:trPr>
          <w:trHeight w:val="435"/>
        </w:trPr>
        <w:tc>
          <w:tcPr>
            <w:tcW w:w="3026" w:type="dxa"/>
          </w:tcPr>
          <w:p w:rsidR="002E6262" w:rsidRPr="0019241C" w:rsidRDefault="002E6262" w:rsidP="00AE03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Ступінь </w:t>
            </w:r>
            <w:proofErr w:type="spellStart"/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змитості</w:t>
            </w:r>
            <w:proofErr w:type="spellEnd"/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 xml:space="preserve"> ґрунту</w:t>
            </w:r>
          </w:p>
        </w:tc>
        <w:tc>
          <w:tcPr>
            <w:tcW w:w="3105" w:type="dxa"/>
          </w:tcPr>
          <w:p w:rsidR="002E6262" w:rsidRPr="0019241C" w:rsidRDefault="002E6262" w:rsidP="00AE03F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Допустимий стік, мм</w:t>
            </w:r>
          </w:p>
        </w:tc>
        <w:tc>
          <w:tcPr>
            <w:tcW w:w="3030" w:type="dxa"/>
          </w:tcPr>
          <w:p w:rsidR="002E6262" w:rsidRPr="0019241C" w:rsidRDefault="002E6262" w:rsidP="00AE03F3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Допустимий змив,</w:t>
            </w:r>
          </w:p>
          <w:p w:rsidR="002E6262" w:rsidRPr="0019241C" w:rsidRDefault="002E6262" w:rsidP="00AE03F3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т/га рік</w:t>
            </w:r>
          </w:p>
        </w:tc>
      </w:tr>
      <w:tr w:rsidR="002E6262" w:rsidRPr="0019241C" w:rsidTr="00AE03F3">
        <w:trPr>
          <w:trHeight w:val="225"/>
        </w:trPr>
        <w:tc>
          <w:tcPr>
            <w:tcW w:w="3026" w:type="dxa"/>
          </w:tcPr>
          <w:p w:rsidR="002E6262" w:rsidRPr="0019241C" w:rsidRDefault="002E6262" w:rsidP="00AE03F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Слабозмитий</w:t>
            </w:r>
            <w:proofErr w:type="spellEnd"/>
          </w:p>
        </w:tc>
        <w:tc>
          <w:tcPr>
            <w:tcW w:w="3105" w:type="dxa"/>
          </w:tcPr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</w:p>
        </w:tc>
        <w:tc>
          <w:tcPr>
            <w:tcW w:w="3030" w:type="dxa"/>
          </w:tcPr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3,5</w:t>
            </w:r>
          </w:p>
        </w:tc>
      </w:tr>
      <w:tr w:rsidR="002E6262" w:rsidRPr="0019241C" w:rsidTr="00AE03F3">
        <w:trPr>
          <w:trHeight w:val="240"/>
        </w:trPr>
        <w:tc>
          <w:tcPr>
            <w:tcW w:w="3026" w:type="dxa"/>
          </w:tcPr>
          <w:p w:rsidR="002E6262" w:rsidRPr="0019241C" w:rsidRDefault="002E6262" w:rsidP="00AE03F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Середньозмитий</w:t>
            </w:r>
            <w:proofErr w:type="spellEnd"/>
          </w:p>
        </w:tc>
        <w:tc>
          <w:tcPr>
            <w:tcW w:w="3105" w:type="dxa"/>
          </w:tcPr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21</w:t>
            </w:r>
          </w:p>
        </w:tc>
        <w:tc>
          <w:tcPr>
            <w:tcW w:w="3030" w:type="dxa"/>
          </w:tcPr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</w:rPr>
              <w:t>2,4</w:t>
            </w:r>
          </w:p>
        </w:tc>
      </w:tr>
    </w:tbl>
    <w:p w:rsidR="002E6262" w:rsidRPr="0019241C" w:rsidRDefault="002E6262" w:rsidP="002E626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2E6262" w:rsidRPr="0019241C" w:rsidRDefault="002E6262" w:rsidP="002E6262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19241C">
        <w:rPr>
          <w:rFonts w:ascii="Times New Roman" w:hAnsi="Times New Roman"/>
          <w:iCs/>
          <w:sz w:val="28"/>
          <w:szCs w:val="28"/>
        </w:rPr>
        <w:t xml:space="preserve">Таблиця 4 </w:t>
      </w:r>
      <w:r w:rsidRPr="0019241C">
        <w:rPr>
          <w:rFonts w:ascii="Times New Roman" w:hAnsi="Times New Roman"/>
          <w:sz w:val="28"/>
          <w:szCs w:val="28"/>
        </w:rPr>
        <w:t xml:space="preserve">– </w:t>
      </w:r>
      <w:r w:rsidRPr="0019241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9241C">
        <w:rPr>
          <w:rFonts w:ascii="Times New Roman" w:hAnsi="Times New Roman"/>
          <w:iCs/>
          <w:sz w:val="28"/>
          <w:szCs w:val="28"/>
        </w:rPr>
        <w:t>Середньобагаторічний</w:t>
      </w:r>
      <w:proofErr w:type="spellEnd"/>
      <w:r w:rsidRPr="0019241C">
        <w:rPr>
          <w:rFonts w:ascii="Times New Roman" w:hAnsi="Times New Roman"/>
          <w:iCs/>
          <w:sz w:val="28"/>
          <w:szCs w:val="28"/>
        </w:rPr>
        <w:t xml:space="preserve"> стік і змив ґрунту</w:t>
      </w:r>
    </w:p>
    <w:p w:rsidR="002E6262" w:rsidRPr="0019241C" w:rsidRDefault="002E6262" w:rsidP="002E6262">
      <w:pPr>
        <w:spacing w:after="0" w:line="240" w:lineRule="auto"/>
        <w:ind w:firstLine="708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Style w:val="21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2586"/>
        <w:gridCol w:w="3191"/>
      </w:tblGrid>
      <w:tr w:rsidR="002E6262" w:rsidRPr="0019241C" w:rsidTr="00AE03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Види угідь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Стік, мм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Змив ґрунту, т/га</w:t>
            </w:r>
          </w:p>
        </w:tc>
      </w:tr>
      <w:tr w:rsidR="002E6262" w:rsidRPr="0019241C" w:rsidTr="00AE03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2" w:rsidRPr="0019241C" w:rsidRDefault="002E6262" w:rsidP="00AE03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Рілля </w:t>
            </w:r>
            <w:proofErr w:type="spellStart"/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слабозмита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5,5</w:t>
            </w:r>
          </w:p>
        </w:tc>
      </w:tr>
      <w:tr w:rsidR="002E6262" w:rsidRPr="0019241C" w:rsidTr="00AE03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2" w:rsidRPr="0019241C" w:rsidRDefault="002E6262" w:rsidP="00AE03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Рілля </w:t>
            </w:r>
            <w:proofErr w:type="spellStart"/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середньозмита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43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6,2</w:t>
            </w:r>
          </w:p>
        </w:tc>
      </w:tr>
      <w:tr w:rsidR="002E6262" w:rsidRPr="0019241C" w:rsidTr="00AE03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2" w:rsidRPr="0019241C" w:rsidRDefault="002E6262" w:rsidP="00AE03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Ліс і лісові насадження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4,5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0,01</w:t>
            </w:r>
          </w:p>
        </w:tc>
      </w:tr>
      <w:tr w:rsidR="002E6262" w:rsidRPr="0019241C" w:rsidTr="00AE03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2" w:rsidRPr="0019241C" w:rsidRDefault="002E6262" w:rsidP="00AE03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Цілина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33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2" w:rsidRPr="0019241C" w:rsidRDefault="002E6262" w:rsidP="00AE0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241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1,2</w:t>
            </w:r>
          </w:p>
        </w:tc>
      </w:tr>
    </w:tbl>
    <w:p w:rsidR="002E6262" w:rsidRPr="0019241C" w:rsidRDefault="002E6262" w:rsidP="002E62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62" w:rsidRPr="0019241C" w:rsidRDefault="002E6262" w:rsidP="002E6262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Контрольні питання</w:t>
      </w:r>
    </w:p>
    <w:p w:rsidR="002E6262" w:rsidRPr="0019241C" w:rsidRDefault="002E6262" w:rsidP="002E626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Розкрийте сутність поняття «природний ландшафт». З яких компонентів складається ландшафт? </w:t>
      </w:r>
    </w:p>
    <w:p w:rsidR="002E6262" w:rsidRPr="0019241C" w:rsidRDefault="002E6262" w:rsidP="002E626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hAnsi="Times New Roman"/>
          <w:sz w:val="28"/>
          <w:szCs w:val="28"/>
        </w:rPr>
        <w:t>Що таке «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»? Чим відрізняється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від природного ландшафту? </w:t>
      </w:r>
    </w:p>
    <w:p w:rsidR="002E6262" w:rsidRPr="0019241C" w:rsidRDefault="002E6262" w:rsidP="002E626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hAnsi="Times New Roman"/>
          <w:sz w:val="28"/>
          <w:szCs w:val="28"/>
        </w:rPr>
        <w:t xml:space="preserve">Назвіть антропогенні зміни ландшафтів. Як класифікують </w:t>
      </w:r>
      <w:proofErr w:type="spellStart"/>
      <w:r w:rsidRPr="0019241C">
        <w:rPr>
          <w:rFonts w:ascii="Times New Roman" w:hAnsi="Times New Roman"/>
          <w:sz w:val="28"/>
          <w:szCs w:val="28"/>
        </w:rPr>
        <w:t>антропогенно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змінені ландшафти?</w:t>
      </w:r>
    </w:p>
    <w:p w:rsidR="002E6262" w:rsidRPr="0019241C" w:rsidRDefault="002E6262" w:rsidP="002E626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Який % розоран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сті території є екологічно небезпечним і слугує дестабілізуючим чинником </w:t>
      </w:r>
      <w:proofErr w:type="spellStart"/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агроекосистеми</w:t>
      </w:r>
      <w:proofErr w:type="spellEnd"/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</w:p>
    <w:p w:rsidR="002E6262" w:rsidRPr="0019241C" w:rsidRDefault="002E6262" w:rsidP="002E626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 вирішити проблему оптимального співвідношення природних і сільгоспугідь?</w:t>
      </w:r>
      <w:r w:rsidRPr="0019241C">
        <w:t xml:space="preserve"> </w:t>
      </w:r>
    </w:p>
    <w:p w:rsidR="002E6262" w:rsidRPr="0019241C" w:rsidRDefault="002E6262" w:rsidP="002E626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Назвіть основні умови формування екологічно безпечних природно-антропогенних ландшафтів.</w:t>
      </w:r>
    </w:p>
    <w:p w:rsidR="002E6262" w:rsidRDefault="002E6262"/>
    <w:sectPr w:rsidR="002E6262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82967"/>
    <w:multiLevelType w:val="hybridMultilevel"/>
    <w:tmpl w:val="4630EB18"/>
    <w:lvl w:ilvl="0" w:tplc="C312FC36">
      <w:start w:val="1"/>
      <w:numFmt w:val="decimal"/>
      <w:lvlText w:val="%1."/>
      <w:lvlJc w:val="left"/>
      <w:pPr>
        <w:ind w:left="70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49B748CC"/>
    <w:multiLevelType w:val="hybridMultilevel"/>
    <w:tmpl w:val="FF807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DA"/>
    <w:rsid w:val="001D373D"/>
    <w:rsid w:val="002E6262"/>
    <w:rsid w:val="00494695"/>
    <w:rsid w:val="007D2633"/>
    <w:rsid w:val="009E3920"/>
    <w:rsid w:val="00A65189"/>
    <w:rsid w:val="00C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BC43"/>
  <w15:chartTrackingRefBased/>
  <w15:docId w15:val="{B629A3D6-6ABF-454D-94E5-B6469311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A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59"/>
    <w:rsid w:val="002E6262"/>
    <w:pPr>
      <w:spacing w:after="0" w:line="240" w:lineRule="auto"/>
    </w:pPr>
    <w:rPr>
      <w:rFonts w:ascii="Calibri" w:eastAsia="Calibri" w:hAnsi="Calibri" w:cs="Arial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16575</Words>
  <Characters>9449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2023-09-14T10:18:00Z</dcterms:created>
  <dcterms:modified xsi:type="dcterms:W3CDTF">2023-09-14T10:18:00Z</dcterms:modified>
</cp:coreProperties>
</file>