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E3D" w:rsidRPr="002D5A5E" w:rsidRDefault="00690E3D" w:rsidP="00690E3D">
      <w:pPr>
        <w:jc w:val="center"/>
        <w:rPr>
          <w:b/>
          <w:sz w:val="28"/>
          <w:szCs w:val="28"/>
          <w:lang w:val="uk-UA"/>
        </w:rPr>
      </w:pPr>
      <w:r>
        <w:rPr>
          <w:b/>
          <w:sz w:val="28"/>
          <w:szCs w:val="28"/>
          <w:lang w:val="uk-UA"/>
        </w:rPr>
        <w:t xml:space="preserve">Практична робота </w:t>
      </w:r>
      <w:r w:rsidR="002D5A5E">
        <w:rPr>
          <w:b/>
          <w:sz w:val="28"/>
          <w:szCs w:val="28"/>
          <w:lang w:val="uk-UA"/>
        </w:rPr>
        <w:t>4</w:t>
      </w:r>
    </w:p>
    <w:p w:rsidR="00690E3D" w:rsidRPr="002D5A5E" w:rsidRDefault="002E7ED7" w:rsidP="002D5A5E">
      <w:pPr>
        <w:jc w:val="center"/>
        <w:rPr>
          <w:sz w:val="16"/>
          <w:szCs w:val="16"/>
          <w:lang w:val="uk-UA"/>
        </w:rPr>
      </w:pPr>
      <w:r w:rsidRPr="002D5A5E">
        <w:rPr>
          <w:b/>
          <w:color w:val="000000" w:themeColor="text1"/>
          <w:sz w:val="28"/>
          <w:szCs w:val="28"/>
          <w:lang w:val="uk-UA"/>
        </w:rPr>
        <w:t>Тема «</w:t>
      </w:r>
      <w:r w:rsidR="002D5A5E" w:rsidRPr="008277A3">
        <w:rPr>
          <w:b/>
          <w:sz w:val="28"/>
          <w:szCs w:val="28"/>
          <w:lang w:val="uk-UA"/>
        </w:rPr>
        <w:t>ФОНДОВИЙ РИНОК</w:t>
      </w:r>
      <w:r w:rsidRPr="002D5A5E">
        <w:rPr>
          <w:b/>
          <w:color w:val="000000" w:themeColor="text1"/>
          <w:sz w:val="28"/>
          <w:szCs w:val="28"/>
          <w:lang w:val="uk-UA"/>
        </w:rPr>
        <w:t>»</w:t>
      </w:r>
    </w:p>
    <w:p w:rsidR="00690E3D" w:rsidRDefault="00690E3D" w:rsidP="00690E3D">
      <w:pPr>
        <w:shd w:val="clear" w:color="auto" w:fill="FFFFFF"/>
        <w:ind w:firstLine="709"/>
        <w:jc w:val="both"/>
        <w:rPr>
          <w:b/>
          <w:color w:val="000000" w:themeColor="text1"/>
          <w:sz w:val="28"/>
          <w:szCs w:val="28"/>
          <w:lang w:val="uk-UA"/>
        </w:rPr>
      </w:pPr>
    </w:p>
    <w:p w:rsidR="00690E3D" w:rsidRPr="00FC6E36" w:rsidRDefault="00690E3D" w:rsidP="00690E3D">
      <w:pPr>
        <w:shd w:val="clear" w:color="auto" w:fill="FFFFFF"/>
        <w:ind w:firstLine="709"/>
        <w:jc w:val="both"/>
        <w:rPr>
          <w:color w:val="000000" w:themeColor="text1"/>
          <w:sz w:val="28"/>
          <w:szCs w:val="28"/>
          <w:lang w:val="uk-UA"/>
        </w:rPr>
      </w:pPr>
    </w:p>
    <w:p w:rsidR="002D5A5E" w:rsidRPr="002D5A5E" w:rsidRDefault="002D5A5E" w:rsidP="002D5A5E">
      <w:pPr>
        <w:pStyle w:val="a3"/>
        <w:ind w:firstLine="720"/>
        <w:jc w:val="both"/>
        <w:rPr>
          <w:b w:val="0"/>
          <w:i w:val="0"/>
          <w:lang w:val="uk-UA"/>
        </w:rPr>
      </w:pPr>
      <w:r w:rsidRPr="002D5A5E">
        <w:rPr>
          <w:i w:val="0"/>
          <w:iCs/>
          <w:szCs w:val="28"/>
          <w:lang w:val="uk-UA"/>
        </w:rPr>
        <w:t>Завдання 1</w:t>
      </w:r>
      <w:r w:rsidRPr="002D5A5E">
        <w:rPr>
          <w:i w:val="0"/>
          <w:szCs w:val="28"/>
          <w:lang w:val="uk-UA"/>
        </w:rPr>
        <w:t>.</w:t>
      </w:r>
      <w:r w:rsidRPr="002D5A5E">
        <w:rPr>
          <w:b w:val="0"/>
          <w:i w:val="0"/>
          <w:spacing w:val="1"/>
          <w:szCs w:val="28"/>
          <w:lang w:val="uk-UA"/>
        </w:rPr>
        <w:t xml:space="preserve"> </w:t>
      </w:r>
      <w:r w:rsidRPr="002D5A5E">
        <w:rPr>
          <w:b w:val="0"/>
          <w:i w:val="0"/>
          <w:lang w:val="uk-UA"/>
        </w:rPr>
        <w:t>Протягом року були отримані наступні результати економічної діяльності:</w:t>
      </w:r>
    </w:p>
    <w:p w:rsidR="002D5A5E" w:rsidRPr="002D5A5E" w:rsidRDefault="002D5A5E" w:rsidP="002D5A5E">
      <w:pPr>
        <w:pStyle w:val="a3"/>
        <w:jc w:val="both"/>
        <w:rPr>
          <w:b w:val="0"/>
          <w:i w:val="0"/>
          <w:lang w:val="uk-UA"/>
        </w:rPr>
      </w:pPr>
      <w:r w:rsidRPr="002D5A5E">
        <w:rPr>
          <w:b w:val="0"/>
          <w:i w:val="0"/>
          <w:lang w:val="uk-UA"/>
        </w:rPr>
        <w:t xml:space="preserve">Фінансовий обіг держави становив (ФОД) 370 </w:t>
      </w:r>
      <w:proofErr w:type="spellStart"/>
      <w:r w:rsidRPr="002D5A5E">
        <w:rPr>
          <w:b w:val="0"/>
          <w:i w:val="0"/>
          <w:lang w:val="uk-UA"/>
        </w:rPr>
        <w:t>млрд.грн</w:t>
      </w:r>
      <w:proofErr w:type="spellEnd"/>
      <w:r w:rsidRPr="002D5A5E">
        <w:rPr>
          <w:b w:val="0"/>
          <w:i w:val="0"/>
          <w:lang w:val="uk-UA"/>
        </w:rPr>
        <w:t xml:space="preserve">., у т. ч. сума податків (П) 52 </w:t>
      </w:r>
      <w:proofErr w:type="spellStart"/>
      <w:r w:rsidRPr="002D5A5E">
        <w:rPr>
          <w:b w:val="0"/>
          <w:i w:val="0"/>
          <w:lang w:val="uk-UA"/>
        </w:rPr>
        <w:t>млрд.грн</w:t>
      </w:r>
      <w:proofErr w:type="spellEnd"/>
      <w:r w:rsidRPr="002D5A5E">
        <w:rPr>
          <w:b w:val="0"/>
          <w:i w:val="0"/>
          <w:lang w:val="uk-UA"/>
        </w:rPr>
        <w:t>.</w:t>
      </w:r>
    </w:p>
    <w:p w:rsidR="002D5A5E" w:rsidRPr="002D5A5E" w:rsidRDefault="002D5A5E" w:rsidP="002D5A5E">
      <w:pPr>
        <w:pStyle w:val="a3"/>
        <w:jc w:val="both"/>
        <w:rPr>
          <w:b w:val="0"/>
          <w:i w:val="0"/>
          <w:lang w:val="uk-UA"/>
        </w:rPr>
      </w:pPr>
      <w:r w:rsidRPr="002D5A5E">
        <w:rPr>
          <w:b w:val="0"/>
          <w:i w:val="0"/>
          <w:lang w:val="uk-UA"/>
        </w:rPr>
        <w:t>Емітовано акцій на суму (</w:t>
      </w:r>
      <w:proofErr w:type="spellStart"/>
      <w:r w:rsidRPr="002D5A5E">
        <w:rPr>
          <w:b w:val="0"/>
          <w:i w:val="0"/>
          <w:lang w:val="uk-UA"/>
        </w:rPr>
        <w:t>Ак</w:t>
      </w:r>
      <w:proofErr w:type="spellEnd"/>
      <w:r w:rsidRPr="002D5A5E">
        <w:rPr>
          <w:b w:val="0"/>
          <w:i w:val="0"/>
          <w:lang w:val="uk-UA"/>
        </w:rPr>
        <w:t xml:space="preserve">) 196 </w:t>
      </w:r>
      <w:proofErr w:type="spellStart"/>
      <w:r w:rsidRPr="002D5A5E">
        <w:rPr>
          <w:b w:val="0"/>
          <w:i w:val="0"/>
          <w:lang w:val="uk-UA"/>
        </w:rPr>
        <w:t>млрд.грн</w:t>
      </w:r>
      <w:proofErr w:type="spellEnd"/>
      <w:r w:rsidRPr="002D5A5E">
        <w:rPr>
          <w:b w:val="0"/>
          <w:i w:val="0"/>
          <w:lang w:val="uk-UA"/>
        </w:rPr>
        <w:t>.,           у т. ч. іменних(</w:t>
      </w:r>
      <w:proofErr w:type="spellStart"/>
      <w:r w:rsidRPr="002D5A5E">
        <w:rPr>
          <w:b w:val="0"/>
          <w:i w:val="0"/>
          <w:lang w:val="uk-UA"/>
        </w:rPr>
        <w:t>Акі</w:t>
      </w:r>
      <w:proofErr w:type="spellEnd"/>
      <w:r w:rsidRPr="002D5A5E">
        <w:rPr>
          <w:b w:val="0"/>
          <w:i w:val="0"/>
          <w:lang w:val="uk-UA"/>
        </w:rPr>
        <w:t xml:space="preserve">)  89 </w:t>
      </w:r>
      <w:proofErr w:type="spellStart"/>
      <w:r w:rsidRPr="002D5A5E">
        <w:rPr>
          <w:b w:val="0"/>
          <w:i w:val="0"/>
          <w:lang w:val="uk-UA"/>
        </w:rPr>
        <w:t>млрд.грн</w:t>
      </w:r>
      <w:proofErr w:type="spellEnd"/>
      <w:r w:rsidRPr="002D5A5E">
        <w:rPr>
          <w:b w:val="0"/>
          <w:i w:val="0"/>
          <w:lang w:val="uk-UA"/>
        </w:rPr>
        <w:t>.</w:t>
      </w:r>
    </w:p>
    <w:p w:rsidR="002D5A5E" w:rsidRPr="002D5A5E" w:rsidRDefault="002D5A5E" w:rsidP="002D5A5E">
      <w:pPr>
        <w:pStyle w:val="a3"/>
        <w:jc w:val="both"/>
        <w:rPr>
          <w:b w:val="0"/>
          <w:i w:val="0"/>
          <w:lang w:val="uk-UA"/>
        </w:rPr>
      </w:pPr>
      <w:r w:rsidRPr="002D5A5E">
        <w:rPr>
          <w:b w:val="0"/>
          <w:i w:val="0"/>
          <w:lang w:val="uk-UA"/>
        </w:rPr>
        <w:t xml:space="preserve">Емітовано облігацій на суму (Об) 52 </w:t>
      </w:r>
      <w:proofErr w:type="spellStart"/>
      <w:r w:rsidRPr="002D5A5E">
        <w:rPr>
          <w:b w:val="0"/>
          <w:i w:val="0"/>
          <w:lang w:val="uk-UA"/>
        </w:rPr>
        <w:t>млрд.грн</w:t>
      </w:r>
      <w:proofErr w:type="spellEnd"/>
      <w:r w:rsidRPr="002D5A5E">
        <w:rPr>
          <w:b w:val="0"/>
          <w:i w:val="0"/>
          <w:lang w:val="uk-UA"/>
        </w:rPr>
        <w:t>., у т. ч. короткострокових (</w:t>
      </w:r>
      <w:proofErr w:type="spellStart"/>
      <w:r w:rsidRPr="002D5A5E">
        <w:rPr>
          <w:b w:val="0"/>
          <w:i w:val="0"/>
          <w:lang w:val="uk-UA"/>
        </w:rPr>
        <w:t>Обк</w:t>
      </w:r>
      <w:proofErr w:type="spellEnd"/>
      <w:r w:rsidRPr="002D5A5E">
        <w:rPr>
          <w:b w:val="0"/>
          <w:i w:val="0"/>
          <w:lang w:val="uk-UA"/>
        </w:rPr>
        <w:t xml:space="preserve">) 41 </w:t>
      </w:r>
      <w:proofErr w:type="spellStart"/>
      <w:r w:rsidRPr="002D5A5E">
        <w:rPr>
          <w:b w:val="0"/>
          <w:i w:val="0"/>
          <w:lang w:val="uk-UA"/>
        </w:rPr>
        <w:t>млрд.грн</w:t>
      </w:r>
      <w:proofErr w:type="spellEnd"/>
      <w:r w:rsidRPr="002D5A5E">
        <w:rPr>
          <w:b w:val="0"/>
          <w:i w:val="0"/>
          <w:lang w:val="uk-UA"/>
        </w:rPr>
        <w:t>.</w:t>
      </w:r>
    </w:p>
    <w:p w:rsidR="002D5A5E" w:rsidRPr="002D5A5E" w:rsidRDefault="002D5A5E" w:rsidP="002D5A5E">
      <w:pPr>
        <w:pStyle w:val="a3"/>
        <w:jc w:val="both"/>
        <w:rPr>
          <w:b w:val="0"/>
          <w:i w:val="0"/>
          <w:lang w:val="uk-UA"/>
        </w:rPr>
      </w:pPr>
      <w:r w:rsidRPr="002D5A5E">
        <w:rPr>
          <w:b w:val="0"/>
          <w:i w:val="0"/>
          <w:lang w:val="uk-UA"/>
        </w:rPr>
        <w:t xml:space="preserve">Реалізовано похідних цінних паперів (РПЦП) 48 </w:t>
      </w:r>
      <w:proofErr w:type="spellStart"/>
      <w:r w:rsidRPr="002D5A5E">
        <w:rPr>
          <w:b w:val="0"/>
          <w:i w:val="0"/>
          <w:lang w:val="uk-UA"/>
        </w:rPr>
        <w:t>млрд.грн</w:t>
      </w:r>
      <w:proofErr w:type="spellEnd"/>
      <w:r w:rsidRPr="002D5A5E">
        <w:rPr>
          <w:b w:val="0"/>
          <w:i w:val="0"/>
          <w:lang w:val="uk-UA"/>
        </w:rPr>
        <w:t>.</w:t>
      </w:r>
    </w:p>
    <w:p w:rsidR="002D5A5E" w:rsidRPr="002D5A5E" w:rsidRDefault="002D5A5E" w:rsidP="002D5A5E">
      <w:pPr>
        <w:pStyle w:val="a3"/>
        <w:jc w:val="both"/>
        <w:rPr>
          <w:b w:val="0"/>
          <w:i w:val="0"/>
          <w:lang w:val="uk-UA"/>
        </w:rPr>
      </w:pPr>
      <w:r w:rsidRPr="002D5A5E">
        <w:rPr>
          <w:b w:val="0"/>
          <w:i w:val="0"/>
          <w:lang w:val="uk-UA"/>
        </w:rPr>
        <w:t xml:space="preserve">Реалізовано товарних цінних паперів (РТЦП) 24 </w:t>
      </w:r>
      <w:proofErr w:type="spellStart"/>
      <w:r w:rsidRPr="002D5A5E">
        <w:rPr>
          <w:b w:val="0"/>
          <w:i w:val="0"/>
          <w:lang w:val="uk-UA"/>
        </w:rPr>
        <w:t>млрд.грн</w:t>
      </w:r>
      <w:proofErr w:type="spellEnd"/>
      <w:r w:rsidRPr="002D5A5E">
        <w:rPr>
          <w:b w:val="0"/>
          <w:i w:val="0"/>
          <w:lang w:val="uk-UA"/>
        </w:rPr>
        <w:t>.</w:t>
      </w:r>
    </w:p>
    <w:p w:rsidR="002D5A5E" w:rsidRPr="002D5A5E" w:rsidRDefault="002D5A5E" w:rsidP="002D5A5E">
      <w:pPr>
        <w:pStyle w:val="a3"/>
        <w:jc w:val="both"/>
        <w:rPr>
          <w:b w:val="0"/>
          <w:i w:val="0"/>
          <w:lang w:val="uk-UA"/>
        </w:rPr>
      </w:pPr>
      <w:r w:rsidRPr="002D5A5E">
        <w:rPr>
          <w:b w:val="0"/>
          <w:i w:val="0"/>
          <w:lang w:val="uk-UA"/>
        </w:rPr>
        <w:t>Половина облігацій та ринкових акцій протягом року перепродається.</w:t>
      </w:r>
    </w:p>
    <w:p w:rsidR="002D5A5E" w:rsidRPr="002D5A5E" w:rsidRDefault="002D5A5E" w:rsidP="002D5A5E">
      <w:pPr>
        <w:pStyle w:val="a3"/>
        <w:jc w:val="both"/>
        <w:rPr>
          <w:b w:val="0"/>
          <w:i w:val="0"/>
          <w:lang w:val="uk-UA"/>
        </w:rPr>
      </w:pPr>
      <w:r w:rsidRPr="002D5A5E">
        <w:rPr>
          <w:b w:val="0"/>
          <w:i w:val="0"/>
          <w:lang w:val="uk-UA"/>
        </w:rPr>
        <w:t xml:space="preserve">Визначити величину: </w:t>
      </w:r>
    </w:p>
    <w:p w:rsidR="002D5A5E" w:rsidRPr="002D5A5E" w:rsidRDefault="002D5A5E" w:rsidP="002D5A5E">
      <w:pPr>
        <w:pStyle w:val="a3"/>
        <w:jc w:val="both"/>
        <w:rPr>
          <w:b w:val="0"/>
          <w:i w:val="0"/>
          <w:lang w:val="uk-UA"/>
        </w:rPr>
      </w:pPr>
      <w:r w:rsidRPr="002D5A5E">
        <w:rPr>
          <w:b w:val="0"/>
          <w:i w:val="0"/>
          <w:lang w:val="uk-UA"/>
        </w:rPr>
        <w:t>– фінансового ринку;</w:t>
      </w:r>
    </w:p>
    <w:p w:rsidR="002D5A5E" w:rsidRPr="002D5A5E" w:rsidRDefault="002D5A5E" w:rsidP="002D5A5E">
      <w:pPr>
        <w:pStyle w:val="a3"/>
        <w:jc w:val="both"/>
        <w:rPr>
          <w:b w:val="0"/>
          <w:i w:val="0"/>
          <w:lang w:val="uk-UA"/>
        </w:rPr>
      </w:pPr>
      <w:r w:rsidRPr="002D5A5E">
        <w:rPr>
          <w:b w:val="0"/>
          <w:i w:val="0"/>
          <w:lang w:val="uk-UA"/>
        </w:rPr>
        <w:t>– первинного ринку цінних паперів;</w:t>
      </w:r>
    </w:p>
    <w:p w:rsidR="002D5A5E" w:rsidRPr="002D5A5E" w:rsidRDefault="002D5A5E" w:rsidP="002D5A5E">
      <w:pPr>
        <w:pStyle w:val="a3"/>
        <w:jc w:val="both"/>
        <w:rPr>
          <w:b w:val="0"/>
          <w:i w:val="0"/>
          <w:lang w:val="uk-UA"/>
        </w:rPr>
      </w:pPr>
      <w:r w:rsidRPr="002D5A5E">
        <w:rPr>
          <w:b w:val="0"/>
          <w:i w:val="0"/>
          <w:lang w:val="uk-UA"/>
        </w:rPr>
        <w:t>– вторинного ринку цінних паперів;</w:t>
      </w:r>
    </w:p>
    <w:p w:rsidR="002D5A5E" w:rsidRPr="002D5A5E" w:rsidRDefault="002D5A5E" w:rsidP="002D5A5E">
      <w:pPr>
        <w:pStyle w:val="a3"/>
        <w:jc w:val="both"/>
        <w:rPr>
          <w:b w:val="0"/>
          <w:i w:val="0"/>
          <w:lang w:val="uk-UA"/>
        </w:rPr>
      </w:pPr>
      <w:r w:rsidRPr="002D5A5E">
        <w:rPr>
          <w:b w:val="0"/>
          <w:i w:val="0"/>
          <w:lang w:val="uk-UA"/>
        </w:rPr>
        <w:t>– ринку фінансових   інструментів;</w:t>
      </w:r>
    </w:p>
    <w:p w:rsidR="002D5A5E" w:rsidRPr="002D5A5E" w:rsidRDefault="002D5A5E" w:rsidP="002D5A5E">
      <w:pPr>
        <w:pStyle w:val="a3"/>
        <w:jc w:val="both"/>
        <w:rPr>
          <w:b w:val="0"/>
          <w:i w:val="0"/>
          <w:lang w:val="uk-UA"/>
        </w:rPr>
      </w:pPr>
      <w:r w:rsidRPr="002D5A5E">
        <w:rPr>
          <w:b w:val="0"/>
          <w:i w:val="0"/>
          <w:lang w:val="uk-UA"/>
        </w:rPr>
        <w:t>– фондового ринку.</w:t>
      </w:r>
    </w:p>
    <w:p w:rsidR="002D5A5E" w:rsidRDefault="002D5A5E" w:rsidP="002D5A5E">
      <w:pPr>
        <w:pStyle w:val="a3"/>
        <w:jc w:val="both"/>
        <w:rPr>
          <w:b w:val="0"/>
          <w:i w:val="0"/>
          <w:iCs/>
          <w:szCs w:val="28"/>
          <w:lang w:val="uk-UA"/>
        </w:rPr>
      </w:pPr>
    </w:p>
    <w:p w:rsidR="002D5A5E" w:rsidRPr="002D5A5E" w:rsidRDefault="002D5A5E" w:rsidP="002D5A5E">
      <w:pPr>
        <w:pStyle w:val="a3"/>
        <w:ind w:firstLine="720"/>
        <w:jc w:val="both"/>
        <w:rPr>
          <w:b w:val="0"/>
          <w:i w:val="0"/>
          <w:lang w:val="uk-UA"/>
        </w:rPr>
      </w:pPr>
      <w:r w:rsidRPr="002D5A5E">
        <w:rPr>
          <w:i w:val="0"/>
          <w:iCs/>
          <w:szCs w:val="28"/>
          <w:lang w:val="uk-UA"/>
        </w:rPr>
        <w:t>Завдання</w:t>
      </w:r>
      <w:r w:rsidRPr="002D5A5E">
        <w:rPr>
          <w:i w:val="0"/>
          <w:iCs/>
          <w:spacing w:val="1"/>
          <w:szCs w:val="28"/>
          <w:lang w:val="uk-UA"/>
        </w:rPr>
        <w:t xml:space="preserve"> 2</w:t>
      </w:r>
      <w:r w:rsidRPr="002D5A5E">
        <w:rPr>
          <w:i w:val="0"/>
          <w:iCs/>
          <w:szCs w:val="28"/>
          <w:lang w:val="uk-UA"/>
        </w:rPr>
        <w:t>.</w:t>
      </w:r>
      <w:r w:rsidRPr="002D5A5E">
        <w:rPr>
          <w:b w:val="0"/>
          <w:i w:val="0"/>
          <w:iCs/>
          <w:spacing w:val="1"/>
          <w:szCs w:val="28"/>
          <w:lang w:val="uk-UA"/>
        </w:rPr>
        <w:t xml:space="preserve"> </w:t>
      </w:r>
      <w:r w:rsidRPr="002D5A5E">
        <w:rPr>
          <w:b w:val="0"/>
          <w:i w:val="0"/>
          <w:lang w:val="uk-UA"/>
        </w:rPr>
        <w:t>Протягом року були отримані наступні результати економічної діяльності:</w:t>
      </w:r>
    </w:p>
    <w:p w:rsidR="002D5A5E" w:rsidRPr="002D5A5E" w:rsidRDefault="002D5A5E" w:rsidP="002D5A5E">
      <w:pPr>
        <w:pStyle w:val="a3"/>
        <w:jc w:val="both"/>
        <w:rPr>
          <w:b w:val="0"/>
          <w:i w:val="0"/>
          <w:lang w:val="uk-UA"/>
        </w:rPr>
      </w:pPr>
      <w:r w:rsidRPr="002D5A5E">
        <w:rPr>
          <w:b w:val="0"/>
          <w:i w:val="0"/>
          <w:lang w:val="uk-UA"/>
        </w:rPr>
        <w:t>Емітовано акцій на суму (</w:t>
      </w:r>
      <w:proofErr w:type="spellStart"/>
      <w:r w:rsidRPr="002D5A5E">
        <w:rPr>
          <w:b w:val="0"/>
          <w:i w:val="0"/>
          <w:lang w:val="uk-UA"/>
        </w:rPr>
        <w:t>Ак</w:t>
      </w:r>
      <w:proofErr w:type="spellEnd"/>
      <w:r w:rsidRPr="002D5A5E">
        <w:rPr>
          <w:b w:val="0"/>
          <w:i w:val="0"/>
          <w:lang w:val="uk-UA"/>
        </w:rPr>
        <w:t xml:space="preserve">) 196 </w:t>
      </w:r>
      <w:proofErr w:type="spellStart"/>
      <w:r w:rsidRPr="002D5A5E">
        <w:rPr>
          <w:b w:val="0"/>
          <w:i w:val="0"/>
          <w:lang w:val="uk-UA"/>
        </w:rPr>
        <w:t>млрд.грн</w:t>
      </w:r>
      <w:proofErr w:type="spellEnd"/>
      <w:r w:rsidRPr="002D5A5E">
        <w:rPr>
          <w:b w:val="0"/>
          <w:i w:val="0"/>
          <w:lang w:val="uk-UA"/>
        </w:rPr>
        <w:t>., у т. ч. іменних(</w:t>
      </w:r>
      <w:proofErr w:type="spellStart"/>
      <w:r w:rsidRPr="002D5A5E">
        <w:rPr>
          <w:b w:val="0"/>
          <w:i w:val="0"/>
          <w:lang w:val="uk-UA"/>
        </w:rPr>
        <w:t>Акі</w:t>
      </w:r>
      <w:proofErr w:type="spellEnd"/>
      <w:r w:rsidRPr="002D5A5E">
        <w:rPr>
          <w:b w:val="0"/>
          <w:i w:val="0"/>
          <w:lang w:val="uk-UA"/>
        </w:rPr>
        <w:t xml:space="preserve">)  89 </w:t>
      </w:r>
      <w:proofErr w:type="spellStart"/>
      <w:r w:rsidRPr="002D5A5E">
        <w:rPr>
          <w:b w:val="0"/>
          <w:i w:val="0"/>
          <w:lang w:val="uk-UA"/>
        </w:rPr>
        <w:t>млрд.грн</w:t>
      </w:r>
      <w:proofErr w:type="spellEnd"/>
      <w:r w:rsidRPr="002D5A5E">
        <w:rPr>
          <w:b w:val="0"/>
          <w:i w:val="0"/>
          <w:lang w:val="uk-UA"/>
        </w:rPr>
        <w:t>.</w:t>
      </w:r>
    </w:p>
    <w:p w:rsidR="002D5A5E" w:rsidRPr="002D5A5E" w:rsidRDefault="002D5A5E" w:rsidP="002D5A5E">
      <w:pPr>
        <w:pStyle w:val="a3"/>
        <w:jc w:val="both"/>
        <w:rPr>
          <w:b w:val="0"/>
          <w:i w:val="0"/>
          <w:lang w:val="uk-UA"/>
        </w:rPr>
      </w:pPr>
      <w:r w:rsidRPr="002D5A5E">
        <w:rPr>
          <w:b w:val="0"/>
          <w:i w:val="0"/>
          <w:lang w:val="uk-UA"/>
        </w:rPr>
        <w:t xml:space="preserve">Емітовано облігацій на суму (Об) 52 </w:t>
      </w:r>
      <w:proofErr w:type="spellStart"/>
      <w:r w:rsidRPr="002D5A5E">
        <w:rPr>
          <w:b w:val="0"/>
          <w:i w:val="0"/>
          <w:lang w:val="uk-UA"/>
        </w:rPr>
        <w:t>млрд.грн</w:t>
      </w:r>
      <w:proofErr w:type="spellEnd"/>
      <w:r w:rsidRPr="002D5A5E">
        <w:rPr>
          <w:b w:val="0"/>
          <w:i w:val="0"/>
          <w:lang w:val="uk-UA"/>
        </w:rPr>
        <w:t xml:space="preserve">., </w:t>
      </w:r>
    </w:p>
    <w:p w:rsidR="002D5A5E" w:rsidRPr="002D5A5E" w:rsidRDefault="002D5A5E" w:rsidP="002D5A5E">
      <w:pPr>
        <w:pStyle w:val="a3"/>
        <w:jc w:val="both"/>
        <w:rPr>
          <w:b w:val="0"/>
          <w:i w:val="0"/>
          <w:lang w:val="uk-UA"/>
        </w:rPr>
      </w:pPr>
      <w:r w:rsidRPr="002D5A5E">
        <w:rPr>
          <w:b w:val="0"/>
          <w:i w:val="0"/>
          <w:lang w:val="uk-UA"/>
        </w:rPr>
        <w:t>у т. ч. короткострокових (</w:t>
      </w:r>
      <w:proofErr w:type="spellStart"/>
      <w:r w:rsidRPr="002D5A5E">
        <w:rPr>
          <w:b w:val="0"/>
          <w:i w:val="0"/>
          <w:lang w:val="uk-UA"/>
        </w:rPr>
        <w:t>Обк</w:t>
      </w:r>
      <w:proofErr w:type="spellEnd"/>
      <w:r w:rsidRPr="002D5A5E">
        <w:rPr>
          <w:b w:val="0"/>
          <w:i w:val="0"/>
          <w:lang w:val="uk-UA"/>
        </w:rPr>
        <w:t xml:space="preserve">) 41 </w:t>
      </w:r>
      <w:proofErr w:type="spellStart"/>
      <w:r w:rsidRPr="002D5A5E">
        <w:rPr>
          <w:b w:val="0"/>
          <w:i w:val="0"/>
          <w:lang w:val="uk-UA"/>
        </w:rPr>
        <w:t>млрд.грн</w:t>
      </w:r>
      <w:proofErr w:type="spellEnd"/>
      <w:r w:rsidRPr="002D5A5E">
        <w:rPr>
          <w:b w:val="0"/>
          <w:i w:val="0"/>
          <w:lang w:val="uk-UA"/>
        </w:rPr>
        <w:t>.</w:t>
      </w:r>
    </w:p>
    <w:p w:rsidR="002D5A5E" w:rsidRPr="002D5A5E" w:rsidRDefault="002D5A5E" w:rsidP="002D5A5E">
      <w:pPr>
        <w:pStyle w:val="a3"/>
        <w:jc w:val="both"/>
        <w:rPr>
          <w:b w:val="0"/>
          <w:i w:val="0"/>
          <w:lang w:val="uk-UA"/>
        </w:rPr>
      </w:pPr>
      <w:r w:rsidRPr="002D5A5E">
        <w:rPr>
          <w:b w:val="0"/>
          <w:i w:val="0"/>
          <w:lang w:val="uk-UA"/>
        </w:rPr>
        <w:t xml:space="preserve">Реалізовано похідних цінних паперів (РПЦП) 48 </w:t>
      </w:r>
      <w:proofErr w:type="spellStart"/>
      <w:r w:rsidRPr="002D5A5E">
        <w:rPr>
          <w:b w:val="0"/>
          <w:i w:val="0"/>
          <w:lang w:val="uk-UA"/>
        </w:rPr>
        <w:t>млрд.грн</w:t>
      </w:r>
      <w:proofErr w:type="spellEnd"/>
      <w:r w:rsidRPr="002D5A5E">
        <w:rPr>
          <w:b w:val="0"/>
          <w:i w:val="0"/>
          <w:lang w:val="uk-UA"/>
        </w:rPr>
        <w:t>.</w:t>
      </w:r>
    </w:p>
    <w:p w:rsidR="002D5A5E" w:rsidRPr="002D5A5E" w:rsidRDefault="002D5A5E" w:rsidP="002D5A5E">
      <w:pPr>
        <w:pStyle w:val="a3"/>
        <w:jc w:val="both"/>
        <w:rPr>
          <w:b w:val="0"/>
          <w:i w:val="0"/>
          <w:lang w:val="uk-UA"/>
        </w:rPr>
      </w:pPr>
      <w:r w:rsidRPr="002D5A5E">
        <w:rPr>
          <w:b w:val="0"/>
          <w:i w:val="0"/>
          <w:lang w:val="uk-UA"/>
        </w:rPr>
        <w:t xml:space="preserve">Половина облігацій та ринкових акцій протягом року перепродається. </w:t>
      </w:r>
    </w:p>
    <w:p w:rsidR="002D5A5E" w:rsidRPr="002D5A5E" w:rsidRDefault="002D5A5E" w:rsidP="002D5A5E">
      <w:pPr>
        <w:pStyle w:val="a3"/>
        <w:jc w:val="both"/>
        <w:rPr>
          <w:b w:val="0"/>
          <w:i w:val="0"/>
          <w:lang w:val="uk-UA"/>
        </w:rPr>
      </w:pPr>
      <w:r w:rsidRPr="002D5A5E">
        <w:rPr>
          <w:b w:val="0"/>
          <w:i w:val="0"/>
          <w:lang w:val="uk-UA"/>
        </w:rPr>
        <w:t>Комісійні за послугами професійних посередників ринку фінансових послуг становили (у % до вартості відповідних операцій з цінними паперами) наведені у таблиці: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7"/>
        <w:gridCol w:w="930"/>
      </w:tblGrid>
      <w:tr w:rsidR="002D5A5E" w:rsidRPr="008277A3" w:rsidTr="0016616A">
        <w:trPr>
          <w:jc w:val="center"/>
        </w:trPr>
        <w:tc>
          <w:tcPr>
            <w:tcW w:w="7287" w:type="dxa"/>
            <w:shd w:val="clear" w:color="auto" w:fill="auto"/>
          </w:tcPr>
          <w:p w:rsidR="002D5A5E" w:rsidRPr="008277A3" w:rsidRDefault="002D5A5E" w:rsidP="0016616A">
            <w:pPr>
              <w:ind w:firstLine="709"/>
              <w:jc w:val="both"/>
              <w:rPr>
                <w:sz w:val="28"/>
                <w:szCs w:val="28"/>
                <w:lang w:val="uk-UA"/>
              </w:rPr>
            </w:pPr>
            <w:proofErr w:type="spellStart"/>
            <w:r w:rsidRPr="008277A3">
              <w:rPr>
                <w:sz w:val="28"/>
                <w:szCs w:val="28"/>
                <w:lang w:val="uk-UA"/>
              </w:rPr>
              <w:t>Андерайтерські</w:t>
            </w:r>
            <w:proofErr w:type="spellEnd"/>
            <w:r w:rsidRPr="008277A3">
              <w:rPr>
                <w:sz w:val="28"/>
                <w:szCs w:val="28"/>
                <w:lang w:val="uk-UA"/>
              </w:rPr>
              <w:t xml:space="preserve"> послуги (К</w:t>
            </w:r>
            <w:r w:rsidRPr="008277A3">
              <w:rPr>
                <w:sz w:val="28"/>
                <w:szCs w:val="28"/>
                <w:vertAlign w:val="subscript"/>
                <w:lang w:val="uk-UA"/>
              </w:rPr>
              <w:t>1</w:t>
            </w:r>
            <w:r w:rsidRPr="008277A3">
              <w:rPr>
                <w:sz w:val="28"/>
                <w:szCs w:val="28"/>
                <w:lang w:val="uk-UA"/>
              </w:rPr>
              <w:t xml:space="preserve">) </w:t>
            </w:r>
          </w:p>
        </w:tc>
        <w:tc>
          <w:tcPr>
            <w:tcW w:w="930" w:type="dxa"/>
            <w:shd w:val="clear" w:color="auto" w:fill="auto"/>
          </w:tcPr>
          <w:p w:rsidR="002D5A5E" w:rsidRPr="008277A3" w:rsidRDefault="002D5A5E" w:rsidP="0016616A">
            <w:pPr>
              <w:jc w:val="center"/>
              <w:rPr>
                <w:sz w:val="28"/>
                <w:szCs w:val="28"/>
                <w:lang w:val="uk-UA"/>
              </w:rPr>
            </w:pPr>
            <w:r w:rsidRPr="008277A3">
              <w:rPr>
                <w:sz w:val="28"/>
                <w:szCs w:val="28"/>
                <w:lang w:val="uk-UA"/>
              </w:rPr>
              <w:t>0,4</w:t>
            </w:r>
          </w:p>
        </w:tc>
      </w:tr>
      <w:tr w:rsidR="002D5A5E" w:rsidRPr="008277A3" w:rsidTr="0016616A">
        <w:trPr>
          <w:jc w:val="center"/>
        </w:trPr>
        <w:tc>
          <w:tcPr>
            <w:tcW w:w="7287" w:type="dxa"/>
            <w:shd w:val="clear" w:color="auto" w:fill="auto"/>
          </w:tcPr>
          <w:p w:rsidR="002D5A5E" w:rsidRPr="008277A3" w:rsidRDefault="002D5A5E" w:rsidP="0016616A">
            <w:pPr>
              <w:ind w:firstLine="709"/>
              <w:jc w:val="both"/>
              <w:rPr>
                <w:sz w:val="28"/>
                <w:szCs w:val="28"/>
                <w:lang w:val="uk-UA"/>
              </w:rPr>
            </w:pPr>
            <w:r w:rsidRPr="008277A3">
              <w:rPr>
                <w:sz w:val="28"/>
                <w:szCs w:val="28"/>
                <w:lang w:val="uk-UA"/>
              </w:rPr>
              <w:t>Реєстраторські послуги (К</w:t>
            </w:r>
            <w:r w:rsidRPr="008277A3">
              <w:rPr>
                <w:sz w:val="28"/>
                <w:szCs w:val="28"/>
                <w:vertAlign w:val="subscript"/>
                <w:lang w:val="uk-UA"/>
              </w:rPr>
              <w:t>2</w:t>
            </w:r>
            <w:r w:rsidRPr="008277A3">
              <w:rPr>
                <w:sz w:val="28"/>
                <w:szCs w:val="28"/>
                <w:lang w:val="uk-UA"/>
              </w:rPr>
              <w:t xml:space="preserve">) </w:t>
            </w:r>
          </w:p>
        </w:tc>
        <w:tc>
          <w:tcPr>
            <w:tcW w:w="930" w:type="dxa"/>
            <w:shd w:val="clear" w:color="auto" w:fill="auto"/>
          </w:tcPr>
          <w:p w:rsidR="002D5A5E" w:rsidRPr="008277A3" w:rsidRDefault="002D5A5E" w:rsidP="0016616A">
            <w:pPr>
              <w:jc w:val="center"/>
              <w:rPr>
                <w:sz w:val="28"/>
                <w:szCs w:val="28"/>
                <w:lang w:val="uk-UA"/>
              </w:rPr>
            </w:pPr>
            <w:r w:rsidRPr="008277A3">
              <w:rPr>
                <w:sz w:val="28"/>
                <w:szCs w:val="28"/>
                <w:lang w:val="uk-UA"/>
              </w:rPr>
              <w:t>0,9</w:t>
            </w:r>
          </w:p>
        </w:tc>
      </w:tr>
      <w:tr w:rsidR="002D5A5E" w:rsidRPr="008277A3" w:rsidTr="0016616A">
        <w:trPr>
          <w:jc w:val="center"/>
        </w:trPr>
        <w:tc>
          <w:tcPr>
            <w:tcW w:w="7287" w:type="dxa"/>
            <w:shd w:val="clear" w:color="auto" w:fill="auto"/>
          </w:tcPr>
          <w:p w:rsidR="002D5A5E" w:rsidRPr="008277A3" w:rsidRDefault="002D5A5E" w:rsidP="0016616A">
            <w:pPr>
              <w:ind w:firstLine="709"/>
              <w:jc w:val="both"/>
              <w:rPr>
                <w:sz w:val="28"/>
                <w:szCs w:val="28"/>
                <w:lang w:val="uk-UA"/>
              </w:rPr>
            </w:pPr>
            <w:r w:rsidRPr="008277A3">
              <w:rPr>
                <w:sz w:val="28"/>
                <w:szCs w:val="28"/>
                <w:lang w:val="uk-UA"/>
              </w:rPr>
              <w:t>Депозитарні послуги (К</w:t>
            </w:r>
            <w:r w:rsidRPr="008277A3">
              <w:rPr>
                <w:sz w:val="28"/>
                <w:szCs w:val="28"/>
                <w:vertAlign w:val="subscript"/>
                <w:lang w:val="uk-UA"/>
              </w:rPr>
              <w:t>3</w:t>
            </w:r>
            <w:r w:rsidRPr="008277A3">
              <w:rPr>
                <w:sz w:val="28"/>
                <w:szCs w:val="28"/>
                <w:lang w:val="uk-UA"/>
              </w:rPr>
              <w:t xml:space="preserve">) </w:t>
            </w:r>
          </w:p>
        </w:tc>
        <w:tc>
          <w:tcPr>
            <w:tcW w:w="930" w:type="dxa"/>
            <w:shd w:val="clear" w:color="auto" w:fill="auto"/>
          </w:tcPr>
          <w:p w:rsidR="002D5A5E" w:rsidRPr="008277A3" w:rsidRDefault="002D5A5E" w:rsidP="0016616A">
            <w:pPr>
              <w:jc w:val="center"/>
              <w:rPr>
                <w:sz w:val="28"/>
                <w:szCs w:val="28"/>
                <w:lang w:val="uk-UA"/>
              </w:rPr>
            </w:pPr>
            <w:r w:rsidRPr="008277A3">
              <w:rPr>
                <w:sz w:val="28"/>
                <w:szCs w:val="28"/>
                <w:lang w:val="uk-UA"/>
              </w:rPr>
              <w:t>0,2</w:t>
            </w:r>
          </w:p>
        </w:tc>
      </w:tr>
      <w:tr w:rsidR="002D5A5E" w:rsidRPr="008277A3" w:rsidTr="0016616A">
        <w:trPr>
          <w:jc w:val="center"/>
        </w:trPr>
        <w:tc>
          <w:tcPr>
            <w:tcW w:w="7287" w:type="dxa"/>
            <w:shd w:val="clear" w:color="auto" w:fill="auto"/>
          </w:tcPr>
          <w:p w:rsidR="002D5A5E" w:rsidRPr="008277A3" w:rsidRDefault="002D5A5E" w:rsidP="0016616A">
            <w:pPr>
              <w:ind w:firstLine="709"/>
              <w:jc w:val="both"/>
              <w:rPr>
                <w:sz w:val="28"/>
                <w:szCs w:val="28"/>
                <w:lang w:val="uk-UA"/>
              </w:rPr>
            </w:pPr>
            <w:r w:rsidRPr="008277A3">
              <w:rPr>
                <w:sz w:val="28"/>
                <w:szCs w:val="28"/>
                <w:lang w:val="uk-UA"/>
              </w:rPr>
              <w:t>Клірингові послуги (К</w:t>
            </w:r>
            <w:r w:rsidRPr="008277A3">
              <w:rPr>
                <w:sz w:val="28"/>
                <w:szCs w:val="28"/>
                <w:vertAlign w:val="subscript"/>
                <w:lang w:val="uk-UA"/>
              </w:rPr>
              <w:t>4</w:t>
            </w:r>
            <w:r w:rsidRPr="008277A3">
              <w:rPr>
                <w:sz w:val="28"/>
                <w:szCs w:val="28"/>
                <w:lang w:val="uk-UA"/>
              </w:rPr>
              <w:t xml:space="preserve">) </w:t>
            </w:r>
          </w:p>
        </w:tc>
        <w:tc>
          <w:tcPr>
            <w:tcW w:w="930" w:type="dxa"/>
            <w:shd w:val="clear" w:color="auto" w:fill="auto"/>
          </w:tcPr>
          <w:p w:rsidR="002D5A5E" w:rsidRPr="008277A3" w:rsidRDefault="002D5A5E" w:rsidP="0016616A">
            <w:pPr>
              <w:jc w:val="center"/>
              <w:rPr>
                <w:sz w:val="28"/>
                <w:szCs w:val="28"/>
                <w:lang w:val="uk-UA"/>
              </w:rPr>
            </w:pPr>
            <w:r w:rsidRPr="008277A3">
              <w:rPr>
                <w:sz w:val="28"/>
                <w:szCs w:val="28"/>
                <w:lang w:val="uk-UA"/>
              </w:rPr>
              <w:t>0,24</w:t>
            </w:r>
          </w:p>
        </w:tc>
      </w:tr>
      <w:tr w:rsidR="002D5A5E" w:rsidRPr="008277A3" w:rsidTr="0016616A">
        <w:trPr>
          <w:jc w:val="center"/>
        </w:trPr>
        <w:tc>
          <w:tcPr>
            <w:tcW w:w="7287" w:type="dxa"/>
            <w:shd w:val="clear" w:color="auto" w:fill="auto"/>
          </w:tcPr>
          <w:p w:rsidR="002D5A5E" w:rsidRPr="008277A3" w:rsidRDefault="002D5A5E" w:rsidP="0016616A">
            <w:pPr>
              <w:ind w:firstLine="709"/>
              <w:jc w:val="both"/>
              <w:rPr>
                <w:sz w:val="28"/>
                <w:szCs w:val="28"/>
                <w:lang w:val="uk-UA"/>
              </w:rPr>
            </w:pPr>
            <w:r w:rsidRPr="008277A3">
              <w:rPr>
                <w:sz w:val="28"/>
                <w:szCs w:val="28"/>
                <w:lang w:val="uk-UA"/>
              </w:rPr>
              <w:t>Брокерські послуги (К</w:t>
            </w:r>
            <w:r w:rsidRPr="008277A3">
              <w:rPr>
                <w:sz w:val="28"/>
                <w:szCs w:val="28"/>
                <w:vertAlign w:val="subscript"/>
                <w:lang w:val="uk-UA"/>
              </w:rPr>
              <w:t>5</w:t>
            </w:r>
            <w:r w:rsidRPr="008277A3">
              <w:rPr>
                <w:sz w:val="28"/>
                <w:szCs w:val="28"/>
                <w:lang w:val="uk-UA"/>
              </w:rPr>
              <w:t xml:space="preserve">) </w:t>
            </w:r>
          </w:p>
        </w:tc>
        <w:tc>
          <w:tcPr>
            <w:tcW w:w="930" w:type="dxa"/>
            <w:shd w:val="clear" w:color="auto" w:fill="auto"/>
          </w:tcPr>
          <w:p w:rsidR="002D5A5E" w:rsidRPr="008277A3" w:rsidRDefault="002D5A5E" w:rsidP="0016616A">
            <w:pPr>
              <w:jc w:val="center"/>
              <w:rPr>
                <w:sz w:val="28"/>
                <w:szCs w:val="28"/>
                <w:lang w:val="uk-UA"/>
              </w:rPr>
            </w:pPr>
            <w:r w:rsidRPr="008277A3">
              <w:rPr>
                <w:sz w:val="28"/>
                <w:szCs w:val="28"/>
                <w:lang w:val="uk-UA"/>
              </w:rPr>
              <w:t>0,5</w:t>
            </w:r>
          </w:p>
        </w:tc>
      </w:tr>
    </w:tbl>
    <w:p w:rsidR="002D5A5E" w:rsidRPr="008277A3" w:rsidRDefault="002D5A5E" w:rsidP="002D5A5E">
      <w:pPr>
        <w:ind w:firstLine="709"/>
        <w:jc w:val="both"/>
        <w:rPr>
          <w:sz w:val="28"/>
          <w:szCs w:val="28"/>
          <w:lang w:val="uk-UA"/>
        </w:rPr>
      </w:pPr>
    </w:p>
    <w:p w:rsidR="002D5A5E" w:rsidRPr="008277A3" w:rsidRDefault="002D5A5E" w:rsidP="002D5A5E">
      <w:pPr>
        <w:ind w:firstLine="709"/>
        <w:jc w:val="both"/>
        <w:rPr>
          <w:sz w:val="28"/>
          <w:szCs w:val="28"/>
          <w:lang w:val="uk-UA"/>
        </w:rPr>
      </w:pPr>
      <w:r w:rsidRPr="008277A3">
        <w:rPr>
          <w:sz w:val="28"/>
          <w:szCs w:val="28"/>
          <w:lang w:val="uk-UA"/>
        </w:rPr>
        <w:t>Визначити величину доходів фінансових посередників на:</w:t>
      </w:r>
    </w:p>
    <w:p w:rsidR="002D5A5E" w:rsidRPr="008277A3" w:rsidRDefault="002D5A5E" w:rsidP="002D5A5E">
      <w:pPr>
        <w:ind w:firstLine="709"/>
        <w:jc w:val="both"/>
        <w:rPr>
          <w:sz w:val="28"/>
          <w:szCs w:val="28"/>
          <w:lang w:val="uk-UA"/>
        </w:rPr>
      </w:pPr>
      <w:r w:rsidRPr="008277A3">
        <w:rPr>
          <w:sz w:val="28"/>
          <w:szCs w:val="28"/>
          <w:lang w:val="uk-UA"/>
        </w:rPr>
        <w:t>– первинному ринку цінних паперів;</w:t>
      </w:r>
    </w:p>
    <w:p w:rsidR="002D5A5E" w:rsidRPr="008277A3" w:rsidRDefault="002D5A5E" w:rsidP="002D5A5E">
      <w:pPr>
        <w:ind w:firstLine="709"/>
        <w:jc w:val="both"/>
        <w:rPr>
          <w:sz w:val="28"/>
          <w:szCs w:val="28"/>
          <w:lang w:val="uk-UA"/>
        </w:rPr>
      </w:pPr>
      <w:r w:rsidRPr="008277A3">
        <w:rPr>
          <w:sz w:val="28"/>
          <w:szCs w:val="28"/>
          <w:lang w:val="uk-UA"/>
        </w:rPr>
        <w:t>– вторинному ринку цінних паперів;</w:t>
      </w:r>
    </w:p>
    <w:p w:rsidR="002D5A5E" w:rsidRPr="008277A3" w:rsidRDefault="002D5A5E" w:rsidP="002D5A5E">
      <w:pPr>
        <w:ind w:firstLine="709"/>
        <w:jc w:val="both"/>
        <w:rPr>
          <w:sz w:val="28"/>
          <w:szCs w:val="28"/>
          <w:lang w:val="uk-UA"/>
        </w:rPr>
      </w:pPr>
      <w:r w:rsidRPr="008277A3">
        <w:rPr>
          <w:sz w:val="28"/>
          <w:szCs w:val="28"/>
          <w:lang w:val="uk-UA"/>
        </w:rPr>
        <w:t>– фондовому  ринку цінних паперів.</w:t>
      </w:r>
    </w:p>
    <w:p w:rsidR="002D5A5E" w:rsidRDefault="002D5A5E" w:rsidP="002D5A5E">
      <w:pPr>
        <w:ind w:firstLine="709"/>
        <w:jc w:val="both"/>
        <w:rPr>
          <w:b/>
          <w:iCs/>
          <w:sz w:val="28"/>
          <w:szCs w:val="28"/>
          <w:lang w:val="uk-UA"/>
        </w:rPr>
      </w:pPr>
    </w:p>
    <w:p w:rsidR="002D5A5E" w:rsidRPr="008277A3" w:rsidRDefault="002D5A5E" w:rsidP="002D5A5E">
      <w:pPr>
        <w:ind w:firstLine="709"/>
        <w:jc w:val="both"/>
        <w:rPr>
          <w:sz w:val="28"/>
          <w:szCs w:val="28"/>
          <w:lang w:val="uk-UA"/>
        </w:rPr>
      </w:pPr>
      <w:r w:rsidRPr="008277A3">
        <w:rPr>
          <w:b/>
          <w:iCs/>
          <w:sz w:val="28"/>
          <w:szCs w:val="28"/>
          <w:lang w:val="uk-UA"/>
        </w:rPr>
        <w:t>Завдання 3</w:t>
      </w:r>
      <w:r w:rsidRPr="008277A3">
        <w:rPr>
          <w:b/>
          <w:i/>
          <w:sz w:val="28"/>
          <w:szCs w:val="28"/>
          <w:lang w:val="uk-UA"/>
        </w:rPr>
        <w:t>.</w:t>
      </w:r>
      <w:r w:rsidRPr="008277A3">
        <w:rPr>
          <w:b/>
          <w:i/>
          <w:spacing w:val="1"/>
          <w:sz w:val="28"/>
          <w:szCs w:val="28"/>
          <w:lang w:val="uk-UA"/>
        </w:rPr>
        <w:t xml:space="preserve"> </w:t>
      </w:r>
      <w:r w:rsidRPr="008277A3">
        <w:rPr>
          <w:sz w:val="28"/>
          <w:szCs w:val="28"/>
          <w:lang w:val="uk-UA"/>
        </w:rPr>
        <w:t xml:space="preserve">У купівлю 1 акції за ціною 1892рн,  інвестор вкладає 50%   власних коштів і 50% позичених під 14 відсотків річних. </w:t>
      </w:r>
    </w:p>
    <w:p w:rsidR="002D5A5E" w:rsidRPr="008277A3" w:rsidRDefault="002D5A5E" w:rsidP="002D5A5E">
      <w:pPr>
        <w:ind w:firstLine="709"/>
        <w:jc w:val="both"/>
        <w:rPr>
          <w:sz w:val="28"/>
          <w:szCs w:val="28"/>
          <w:lang w:val="uk-UA"/>
        </w:rPr>
      </w:pPr>
      <w:r w:rsidRPr="008277A3">
        <w:rPr>
          <w:sz w:val="28"/>
          <w:szCs w:val="28"/>
          <w:lang w:val="uk-UA"/>
        </w:rPr>
        <w:t>Комісійні брокера 75 грн.</w:t>
      </w:r>
    </w:p>
    <w:p w:rsidR="002D5A5E" w:rsidRPr="008277A3" w:rsidRDefault="002D5A5E" w:rsidP="002D5A5E">
      <w:pPr>
        <w:ind w:firstLine="709"/>
        <w:jc w:val="both"/>
        <w:rPr>
          <w:sz w:val="28"/>
          <w:szCs w:val="28"/>
          <w:lang w:val="uk-UA"/>
        </w:rPr>
      </w:pPr>
      <w:r w:rsidRPr="008277A3">
        <w:rPr>
          <w:sz w:val="28"/>
          <w:szCs w:val="28"/>
          <w:lang w:val="uk-UA"/>
        </w:rPr>
        <w:t xml:space="preserve">Через 9 місяців, коли курс акцій піднімається до 2200 грн, інвестор продає акції. Визначити прибуток від проведення спекулятивної угоди. </w:t>
      </w:r>
    </w:p>
    <w:p w:rsidR="002D5A5E" w:rsidRPr="008277A3" w:rsidRDefault="002D5A5E" w:rsidP="002D5A5E">
      <w:pPr>
        <w:ind w:firstLine="709"/>
        <w:jc w:val="both"/>
        <w:rPr>
          <w:b/>
          <w:sz w:val="28"/>
          <w:szCs w:val="28"/>
          <w:lang w:val="uk-UA"/>
        </w:rPr>
      </w:pPr>
      <w:r w:rsidRPr="008277A3">
        <w:rPr>
          <w:b/>
          <w:iCs/>
          <w:sz w:val="28"/>
          <w:szCs w:val="28"/>
          <w:lang w:val="uk-UA"/>
        </w:rPr>
        <w:lastRenderedPageBreak/>
        <w:t>Завдання 4</w:t>
      </w:r>
      <w:r w:rsidRPr="008277A3">
        <w:rPr>
          <w:b/>
          <w:i/>
          <w:sz w:val="28"/>
          <w:szCs w:val="28"/>
          <w:lang w:val="uk-UA"/>
        </w:rPr>
        <w:t>.</w:t>
      </w:r>
      <w:r w:rsidRPr="008277A3">
        <w:rPr>
          <w:b/>
          <w:i/>
          <w:spacing w:val="1"/>
          <w:sz w:val="28"/>
          <w:szCs w:val="28"/>
          <w:lang w:val="uk-UA"/>
        </w:rPr>
        <w:t xml:space="preserve"> </w:t>
      </w:r>
      <w:r w:rsidRPr="008277A3">
        <w:rPr>
          <w:sz w:val="28"/>
          <w:szCs w:val="28"/>
          <w:lang w:val="uk-UA"/>
        </w:rPr>
        <w:t>Чистий дохід корпорації становив 40 млн грн, з якого вона виплачує по 2 грн на кожну акцію у вигляді дивідендів. Всього випущено 4 млн акцій. Знайти частку доходу корпорації, що розподіляється серед акціонерів.</w:t>
      </w:r>
    </w:p>
    <w:p w:rsidR="002D5A5E" w:rsidRDefault="002D5A5E" w:rsidP="002D5A5E">
      <w:pPr>
        <w:autoSpaceDE w:val="0"/>
        <w:autoSpaceDN w:val="0"/>
        <w:adjustRightInd w:val="0"/>
        <w:ind w:firstLine="709"/>
        <w:jc w:val="both"/>
        <w:rPr>
          <w:b/>
          <w:iCs/>
          <w:sz w:val="28"/>
          <w:szCs w:val="28"/>
          <w:lang w:val="uk-UA"/>
        </w:rPr>
      </w:pPr>
    </w:p>
    <w:p w:rsidR="002D5A5E" w:rsidRPr="008277A3" w:rsidRDefault="002D5A5E" w:rsidP="002D5A5E">
      <w:pPr>
        <w:autoSpaceDE w:val="0"/>
        <w:autoSpaceDN w:val="0"/>
        <w:adjustRightInd w:val="0"/>
        <w:ind w:firstLine="709"/>
        <w:jc w:val="both"/>
        <w:rPr>
          <w:iCs/>
          <w:sz w:val="28"/>
          <w:szCs w:val="28"/>
          <w:lang w:val="uk-UA"/>
        </w:rPr>
      </w:pPr>
      <w:r w:rsidRPr="008277A3">
        <w:rPr>
          <w:b/>
          <w:iCs/>
          <w:sz w:val="28"/>
          <w:szCs w:val="28"/>
          <w:lang w:val="uk-UA"/>
        </w:rPr>
        <w:t>Завдання</w:t>
      </w:r>
      <w:r w:rsidRPr="008277A3">
        <w:rPr>
          <w:b/>
          <w:iCs/>
          <w:spacing w:val="1"/>
          <w:sz w:val="28"/>
          <w:szCs w:val="28"/>
          <w:lang w:val="uk-UA"/>
        </w:rPr>
        <w:t xml:space="preserve"> 5</w:t>
      </w:r>
      <w:r w:rsidRPr="008277A3">
        <w:rPr>
          <w:b/>
          <w:iCs/>
          <w:sz w:val="28"/>
          <w:szCs w:val="28"/>
          <w:lang w:val="uk-UA"/>
        </w:rPr>
        <w:t xml:space="preserve">. </w:t>
      </w:r>
      <w:r w:rsidRPr="008277A3">
        <w:rPr>
          <w:iCs/>
          <w:sz w:val="28"/>
          <w:szCs w:val="28"/>
          <w:lang w:val="uk-UA"/>
        </w:rPr>
        <w:t>Із звіту корпорації відомо, що її чистий дохід за шість місяців становить 4,5 млн грн, акції корпорації продаються за ціною 180 грн, в обіг випущено 1,5 млн акцій. Визначити коефіцієнт ціна–дохід.</w:t>
      </w:r>
    </w:p>
    <w:p w:rsidR="002D5A5E" w:rsidRDefault="002D5A5E" w:rsidP="002D5A5E">
      <w:pPr>
        <w:autoSpaceDE w:val="0"/>
        <w:autoSpaceDN w:val="0"/>
        <w:adjustRightInd w:val="0"/>
        <w:ind w:firstLine="709"/>
        <w:jc w:val="both"/>
        <w:rPr>
          <w:b/>
          <w:iCs/>
          <w:sz w:val="28"/>
          <w:szCs w:val="28"/>
          <w:lang w:val="uk-UA"/>
        </w:rPr>
      </w:pPr>
    </w:p>
    <w:p w:rsidR="002D5A5E" w:rsidRPr="008277A3" w:rsidRDefault="002D5A5E" w:rsidP="002D5A5E">
      <w:pPr>
        <w:autoSpaceDE w:val="0"/>
        <w:autoSpaceDN w:val="0"/>
        <w:adjustRightInd w:val="0"/>
        <w:ind w:firstLine="709"/>
        <w:jc w:val="both"/>
        <w:rPr>
          <w:sz w:val="28"/>
          <w:szCs w:val="28"/>
          <w:lang w:val="uk-UA"/>
        </w:rPr>
      </w:pPr>
      <w:r w:rsidRPr="008277A3">
        <w:rPr>
          <w:b/>
          <w:iCs/>
          <w:sz w:val="28"/>
          <w:szCs w:val="28"/>
          <w:lang w:val="uk-UA"/>
        </w:rPr>
        <w:t>Завдання</w:t>
      </w:r>
      <w:r w:rsidRPr="008277A3">
        <w:rPr>
          <w:b/>
          <w:iCs/>
          <w:spacing w:val="1"/>
          <w:sz w:val="28"/>
          <w:szCs w:val="28"/>
          <w:lang w:val="uk-UA"/>
        </w:rPr>
        <w:t xml:space="preserve"> 6</w:t>
      </w:r>
      <w:r w:rsidRPr="008277A3">
        <w:rPr>
          <w:b/>
          <w:iCs/>
          <w:sz w:val="28"/>
          <w:szCs w:val="28"/>
          <w:lang w:val="uk-UA"/>
        </w:rPr>
        <w:t>.</w:t>
      </w:r>
      <w:r w:rsidRPr="008277A3">
        <w:rPr>
          <w:b/>
          <w:iCs/>
          <w:spacing w:val="1"/>
          <w:sz w:val="28"/>
          <w:szCs w:val="28"/>
          <w:lang w:val="uk-UA"/>
        </w:rPr>
        <w:t xml:space="preserve"> </w:t>
      </w:r>
      <w:r w:rsidRPr="008277A3">
        <w:rPr>
          <w:sz w:val="28"/>
          <w:szCs w:val="28"/>
          <w:lang w:val="uk-UA"/>
        </w:rPr>
        <w:t xml:space="preserve">Розрахувати  індексу  </w:t>
      </w:r>
      <w:proofErr w:type="spellStart"/>
      <w:r w:rsidRPr="008277A3">
        <w:rPr>
          <w:sz w:val="28"/>
          <w:szCs w:val="28"/>
          <w:lang w:val="uk-UA"/>
        </w:rPr>
        <w:t>Доу</w:t>
      </w:r>
      <w:proofErr w:type="spellEnd"/>
      <w:r w:rsidRPr="008277A3">
        <w:rPr>
          <w:sz w:val="28"/>
          <w:szCs w:val="28"/>
          <w:lang w:val="uk-UA"/>
        </w:rPr>
        <w:t>–Джонса, взявши за основу не 30 компаній (як у промисловому індексі), а 4 умовних компанії.</w:t>
      </w:r>
    </w:p>
    <w:p w:rsidR="002D5A5E" w:rsidRPr="008277A3" w:rsidRDefault="002D5A5E" w:rsidP="002D5A5E">
      <w:pPr>
        <w:ind w:firstLine="709"/>
        <w:jc w:val="both"/>
        <w:rPr>
          <w:rFonts w:eastAsia="Arial Unicode MS"/>
          <w:sz w:val="28"/>
          <w:szCs w:val="28"/>
          <w:lang w:val="uk-UA" w:eastAsia="zh-TW"/>
        </w:rPr>
      </w:pPr>
      <w:r w:rsidRPr="008277A3">
        <w:rPr>
          <w:rFonts w:eastAsia="Arial Unicode MS"/>
          <w:sz w:val="28"/>
          <w:szCs w:val="28"/>
          <w:lang w:val="uk-UA" w:eastAsia="zh-TW"/>
        </w:rPr>
        <w:t>Таблиця – Дані (умовні) фондових бірж за чотири роки</w:t>
      </w:r>
    </w:p>
    <w:tbl>
      <w:tblPr>
        <w:tblStyle w:val="a5"/>
        <w:tblW w:w="9455" w:type="dxa"/>
        <w:jc w:val="center"/>
        <w:tblLayout w:type="fixed"/>
        <w:tblLook w:val="04A0" w:firstRow="1" w:lastRow="0" w:firstColumn="1" w:lastColumn="0" w:noHBand="0" w:noVBand="1"/>
      </w:tblPr>
      <w:tblGrid>
        <w:gridCol w:w="2565"/>
        <w:gridCol w:w="861"/>
        <w:gridCol w:w="861"/>
        <w:gridCol w:w="861"/>
        <w:gridCol w:w="862"/>
        <w:gridCol w:w="861"/>
        <w:gridCol w:w="861"/>
        <w:gridCol w:w="861"/>
        <w:gridCol w:w="862"/>
      </w:tblGrid>
      <w:tr w:rsidR="002D5A5E" w:rsidRPr="008277A3" w:rsidTr="0016616A">
        <w:trPr>
          <w:trHeight w:val="589"/>
          <w:jc w:val="center"/>
        </w:trPr>
        <w:tc>
          <w:tcPr>
            <w:tcW w:w="2565" w:type="dxa"/>
            <w:vMerge w:val="restart"/>
          </w:tcPr>
          <w:p w:rsidR="002D5A5E" w:rsidRPr="008277A3" w:rsidRDefault="002D5A5E" w:rsidP="0016616A">
            <w:pPr>
              <w:jc w:val="center"/>
              <w:rPr>
                <w:sz w:val="22"/>
                <w:szCs w:val="22"/>
              </w:rPr>
            </w:pPr>
            <w:proofErr w:type="spellStart"/>
            <w:r w:rsidRPr="008277A3">
              <w:rPr>
                <w:sz w:val="22"/>
                <w:szCs w:val="22"/>
              </w:rPr>
              <w:t>Акції</w:t>
            </w:r>
            <w:proofErr w:type="spellEnd"/>
            <w:r w:rsidRPr="008277A3">
              <w:rPr>
                <w:sz w:val="22"/>
                <w:szCs w:val="22"/>
              </w:rPr>
              <w:t xml:space="preserve"> </w:t>
            </w:r>
            <w:proofErr w:type="spellStart"/>
            <w:r w:rsidRPr="008277A3">
              <w:rPr>
                <w:sz w:val="22"/>
                <w:szCs w:val="22"/>
              </w:rPr>
              <w:t>компаній</w:t>
            </w:r>
            <w:proofErr w:type="spellEnd"/>
            <w:r w:rsidRPr="008277A3">
              <w:rPr>
                <w:sz w:val="22"/>
                <w:szCs w:val="22"/>
              </w:rPr>
              <w:t xml:space="preserve"> </w:t>
            </w:r>
          </w:p>
        </w:tc>
        <w:tc>
          <w:tcPr>
            <w:tcW w:w="3445" w:type="dxa"/>
            <w:gridSpan w:val="4"/>
          </w:tcPr>
          <w:p w:rsidR="002D5A5E" w:rsidRPr="008277A3" w:rsidRDefault="002D5A5E" w:rsidP="0016616A">
            <w:pPr>
              <w:jc w:val="center"/>
              <w:rPr>
                <w:sz w:val="22"/>
                <w:szCs w:val="22"/>
              </w:rPr>
            </w:pPr>
            <w:proofErr w:type="spellStart"/>
            <w:r w:rsidRPr="008277A3">
              <w:rPr>
                <w:sz w:val="22"/>
                <w:szCs w:val="22"/>
              </w:rPr>
              <w:t>Ринкова</w:t>
            </w:r>
            <w:proofErr w:type="spellEnd"/>
            <w:r w:rsidRPr="008277A3">
              <w:rPr>
                <w:sz w:val="22"/>
                <w:szCs w:val="22"/>
              </w:rPr>
              <w:t xml:space="preserve"> </w:t>
            </w:r>
            <w:proofErr w:type="spellStart"/>
            <w:r w:rsidRPr="008277A3">
              <w:rPr>
                <w:sz w:val="22"/>
                <w:szCs w:val="22"/>
              </w:rPr>
              <w:t>ціна</w:t>
            </w:r>
            <w:proofErr w:type="spellEnd"/>
            <w:r w:rsidRPr="008277A3">
              <w:rPr>
                <w:sz w:val="22"/>
                <w:szCs w:val="22"/>
              </w:rPr>
              <w:t xml:space="preserve"> </w:t>
            </w:r>
            <w:proofErr w:type="spellStart"/>
            <w:r w:rsidRPr="008277A3">
              <w:rPr>
                <w:sz w:val="22"/>
                <w:szCs w:val="22"/>
              </w:rPr>
              <w:t>акцій</w:t>
            </w:r>
            <w:proofErr w:type="spellEnd"/>
            <w:r w:rsidRPr="008277A3">
              <w:rPr>
                <w:sz w:val="22"/>
                <w:szCs w:val="22"/>
              </w:rPr>
              <w:t xml:space="preserve">, </w:t>
            </w:r>
            <w:proofErr w:type="spellStart"/>
            <w:r w:rsidRPr="008277A3">
              <w:rPr>
                <w:sz w:val="22"/>
                <w:szCs w:val="22"/>
              </w:rPr>
              <w:t>грн</w:t>
            </w:r>
            <w:proofErr w:type="spellEnd"/>
          </w:p>
        </w:tc>
        <w:tc>
          <w:tcPr>
            <w:tcW w:w="3445" w:type="dxa"/>
            <w:gridSpan w:val="4"/>
          </w:tcPr>
          <w:p w:rsidR="002D5A5E" w:rsidRPr="008277A3" w:rsidRDefault="002D5A5E" w:rsidP="0016616A">
            <w:pPr>
              <w:jc w:val="center"/>
              <w:rPr>
                <w:sz w:val="22"/>
                <w:szCs w:val="22"/>
              </w:rPr>
            </w:pPr>
            <w:proofErr w:type="spellStart"/>
            <w:r w:rsidRPr="008277A3">
              <w:rPr>
                <w:sz w:val="22"/>
                <w:szCs w:val="22"/>
              </w:rPr>
              <w:t>Кількість</w:t>
            </w:r>
            <w:proofErr w:type="spellEnd"/>
            <w:r w:rsidRPr="008277A3">
              <w:rPr>
                <w:sz w:val="22"/>
                <w:szCs w:val="22"/>
              </w:rPr>
              <w:t xml:space="preserve"> </w:t>
            </w:r>
            <w:proofErr w:type="spellStart"/>
            <w:r w:rsidRPr="008277A3">
              <w:rPr>
                <w:sz w:val="22"/>
                <w:szCs w:val="22"/>
              </w:rPr>
              <w:t>виданих</w:t>
            </w:r>
            <w:proofErr w:type="spellEnd"/>
            <w:r w:rsidRPr="008277A3">
              <w:rPr>
                <w:sz w:val="22"/>
                <w:szCs w:val="22"/>
              </w:rPr>
              <w:t xml:space="preserve"> </w:t>
            </w:r>
            <w:proofErr w:type="spellStart"/>
            <w:r w:rsidRPr="008277A3">
              <w:rPr>
                <w:sz w:val="22"/>
                <w:szCs w:val="22"/>
              </w:rPr>
              <w:t>компаніями</w:t>
            </w:r>
            <w:proofErr w:type="spellEnd"/>
            <w:r w:rsidRPr="008277A3">
              <w:rPr>
                <w:sz w:val="22"/>
                <w:szCs w:val="22"/>
              </w:rPr>
              <w:t xml:space="preserve"> </w:t>
            </w:r>
            <w:proofErr w:type="spellStart"/>
            <w:r w:rsidRPr="008277A3">
              <w:rPr>
                <w:sz w:val="22"/>
                <w:szCs w:val="22"/>
              </w:rPr>
              <w:t>акцій</w:t>
            </w:r>
            <w:proofErr w:type="spellEnd"/>
            <w:r w:rsidRPr="008277A3">
              <w:rPr>
                <w:sz w:val="22"/>
                <w:szCs w:val="22"/>
              </w:rPr>
              <w:t xml:space="preserve">, </w:t>
            </w:r>
            <w:proofErr w:type="spellStart"/>
            <w:r w:rsidRPr="008277A3">
              <w:rPr>
                <w:sz w:val="22"/>
                <w:szCs w:val="22"/>
              </w:rPr>
              <w:t>млн.шт</w:t>
            </w:r>
            <w:proofErr w:type="spellEnd"/>
            <w:r w:rsidRPr="008277A3">
              <w:rPr>
                <w:sz w:val="22"/>
                <w:szCs w:val="22"/>
              </w:rPr>
              <w:t>.</w:t>
            </w:r>
          </w:p>
        </w:tc>
      </w:tr>
      <w:tr w:rsidR="002D5A5E" w:rsidRPr="008277A3" w:rsidTr="0016616A">
        <w:trPr>
          <w:trHeight w:val="153"/>
          <w:jc w:val="center"/>
        </w:trPr>
        <w:tc>
          <w:tcPr>
            <w:tcW w:w="2565" w:type="dxa"/>
            <w:vMerge/>
          </w:tcPr>
          <w:p w:rsidR="002D5A5E" w:rsidRPr="008277A3" w:rsidRDefault="002D5A5E" w:rsidP="0016616A">
            <w:pPr>
              <w:jc w:val="center"/>
              <w:rPr>
                <w:sz w:val="22"/>
                <w:szCs w:val="22"/>
              </w:rPr>
            </w:pPr>
          </w:p>
        </w:tc>
        <w:tc>
          <w:tcPr>
            <w:tcW w:w="861" w:type="dxa"/>
          </w:tcPr>
          <w:p w:rsidR="002D5A5E" w:rsidRPr="008277A3" w:rsidRDefault="002D5A5E" w:rsidP="0016616A">
            <w:pPr>
              <w:jc w:val="center"/>
              <w:rPr>
                <w:sz w:val="22"/>
                <w:szCs w:val="22"/>
              </w:rPr>
            </w:pPr>
            <w:r w:rsidRPr="008277A3">
              <w:rPr>
                <w:sz w:val="22"/>
                <w:szCs w:val="22"/>
              </w:rPr>
              <w:t>2021</w:t>
            </w:r>
          </w:p>
        </w:tc>
        <w:tc>
          <w:tcPr>
            <w:tcW w:w="861" w:type="dxa"/>
          </w:tcPr>
          <w:p w:rsidR="002D5A5E" w:rsidRPr="008277A3" w:rsidRDefault="002D5A5E" w:rsidP="0016616A">
            <w:pPr>
              <w:jc w:val="center"/>
              <w:rPr>
                <w:sz w:val="22"/>
                <w:szCs w:val="22"/>
              </w:rPr>
            </w:pPr>
            <w:r w:rsidRPr="008277A3">
              <w:rPr>
                <w:sz w:val="22"/>
                <w:szCs w:val="22"/>
              </w:rPr>
              <w:t>2022</w:t>
            </w:r>
          </w:p>
        </w:tc>
        <w:tc>
          <w:tcPr>
            <w:tcW w:w="861" w:type="dxa"/>
          </w:tcPr>
          <w:p w:rsidR="002D5A5E" w:rsidRPr="008277A3" w:rsidRDefault="002D5A5E" w:rsidP="0016616A">
            <w:pPr>
              <w:jc w:val="center"/>
              <w:rPr>
                <w:sz w:val="22"/>
                <w:szCs w:val="22"/>
              </w:rPr>
            </w:pPr>
            <w:r w:rsidRPr="008277A3">
              <w:rPr>
                <w:sz w:val="22"/>
                <w:szCs w:val="22"/>
              </w:rPr>
              <w:t>2023</w:t>
            </w:r>
          </w:p>
        </w:tc>
        <w:tc>
          <w:tcPr>
            <w:tcW w:w="862" w:type="dxa"/>
          </w:tcPr>
          <w:p w:rsidR="002D5A5E" w:rsidRPr="008277A3" w:rsidRDefault="002D5A5E" w:rsidP="0016616A">
            <w:pPr>
              <w:jc w:val="center"/>
              <w:rPr>
                <w:sz w:val="22"/>
                <w:szCs w:val="22"/>
              </w:rPr>
            </w:pPr>
            <w:r w:rsidRPr="008277A3">
              <w:rPr>
                <w:sz w:val="22"/>
                <w:szCs w:val="22"/>
              </w:rPr>
              <w:t>2024</w:t>
            </w:r>
          </w:p>
        </w:tc>
        <w:tc>
          <w:tcPr>
            <w:tcW w:w="861" w:type="dxa"/>
          </w:tcPr>
          <w:p w:rsidR="002D5A5E" w:rsidRPr="008277A3" w:rsidRDefault="002D5A5E" w:rsidP="0016616A">
            <w:pPr>
              <w:jc w:val="center"/>
              <w:rPr>
                <w:sz w:val="22"/>
                <w:szCs w:val="22"/>
              </w:rPr>
            </w:pPr>
            <w:r w:rsidRPr="008277A3">
              <w:rPr>
                <w:sz w:val="22"/>
                <w:szCs w:val="22"/>
              </w:rPr>
              <w:t>2021</w:t>
            </w:r>
          </w:p>
        </w:tc>
        <w:tc>
          <w:tcPr>
            <w:tcW w:w="861" w:type="dxa"/>
          </w:tcPr>
          <w:p w:rsidR="002D5A5E" w:rsidRPr="008277A3" w:rsidRDefault="002D5A5E" w:rsidP="0016616A">
            <w:pPr>
              <w:jc w:val="center"/>
              <w:rPr>
                <w:sz w:val="22"/>
                <w:szCs w:val="22"/>
              </w:rPr>
            </w:pPr>
            <w:r w:rsidRPr="008277A3">
              <w:rPr>
                <w:sz w:val="22"/>
                <w:szCs w:val="22"/>
              </w:rPr>
              <w:t>2022</w:t>
            </w:r>
          </w:p>
        </w:tc>
        <w:tc>
          <w:tcPr>
            <w:tcW w:w="861" w:type="dxa"/>
          </w:tcPr>
          <w:p w:rsidR="002D5A5E" w:rsidRPr="008277A3" w:rsidRDefault="002D5A5E" w:rsidP="0016616A">
            <w:pPr>
              <w:jc w:val="center"/>
              <w:rPr>
                <w:sz w:val="22"/>
                <w:szCs w:val="22"/>
              </w:rPr>
            </w:pPr>
            <w:r w:rsidRPr="008277A3">
              <w:rPr>
                <w:sz w:val="22"/>
                <w:szCs w:val="22"/>
              </w:rPr>
              <w:t>2023</w:t>
            </w:r>
          </w:p>
        </w:tc>
        <w:tc>
          <w:tcPr>
            <w:tcW w:w="862" w:type="dxa"/>
          </w:tcPr>
          <w:p w:rsidR="002D5A5E" w:rsidRPr="008277A3" w:rsidRDefault="002D5A5E" w:rsidP="0016616A">
            <w:pPr>
              <w:jc w:val="center"/>
              <w:rPr>
                <w:sz w:val="22"/>
                <w:szCs w:val="22"/>
              </w:rPr>
            </w:pPr>
            <w:r w:rsidRPr="008277A3">
              <w:rPr>
                <w:sz w:val="22"/>
                <w:szCs w:val="22"/>
              </w:rPr>
              <w:t>2024</w:t>
            </w:r>
          </w:p>
        </w:tc>
      </w:tr>
      <w:tr w:rsidR="002D5A5E" w:rsidRPr="008277A3" w:rsidTr="0016616A">
        <w:trPr>
          <w:trHeight w:val="285"/>
          <w:jc w:val="center"/>
        </w:trPr>
        <w:tc>
          <w:tcPr>
            <w:tcW w:w="2565" w:type="dxa"/>
          </w:tcPr>
          <w:p w:rsidR="002D5A5E" w:rsidRPr="008277A3" w:rsidRDefault="002D5A5E" w:rsidP="0016616A">
            <w:pPr>
              <w:jc w:val="center"/>
              <w:rPr>
                <w:sz w:val="22"/>
                <w:szCs w:val="22"/>
              </w:rPr>
            </w:pPr>
            <w:proofErr w:type="spellStart"/>
            <w:r w:rsidRPr="008277A3">
              <w:rPr>
                <w:sz w:val="22"/>
                <w:szCs w:val="22"/>
              </w:rPr>
              <w:t>Компанія</w:t>
            </w:r>
            <w:proofErr w:type="spellEnd"/>
            <w:proofErr w:type="gramStart"/>
            <w:r w:rsidRPr="008277A3">
              <w:rPr>
                <w:sz w:val="22"/>
                <w:szCs w:val="22"/>
              </w:rPr>
              <w:t xml:space="preserve"> А</w:t>
            </w:r>
            <w:proofErr w:type="gramEnd"/>
          </w:p>
        </w:tc>
        <w:tc>
          <w:tcPr>
            <w:tcW w:w="861" w:type="dxa"/>
          </w:tcPr>
          <w:p w:rsidR="002D5A5E" w:rsidRPr="008277A3" w:rsidRDefault="002D5A5E" w:rsidP="0016616A">
            <w:pPr>
              <w:jc w:val="center"/>
              <w:rPr>
                <w:sz w:val="22"/>
                <w:szCs w:val="22"/>
              </w:rPr>
            </w:pPr>
            <w:r w:rsidRPr="008277A3">
              <w:rPr>
                <w:sz w:val="22"/>
                <w:szCs w:val="22"/>
              </w:rPr>
              <w:t>10,0</w:t>
            </w:r>
          </w:p>
        </w:tc>
        <w:tc>
          <w:tcPr>
            <w:tcW w:w="861" w:type="dxa"/>
          </w:tcPr>
          <w:p w:rsidR="002D5A5E" w:rsidRPr="008277A3" w:rsidRDefault="002D5A5E" w:rsidP="0016616A">
            <w:pPr>
              <w:jc w:val="center"/>
              <w:rPr>
                <w:sz w:val="22"/>
                <w:szCs w:val="22"/>
              </w:rPr>
            </w:pPr>
            <w:r w:rsidRPr="008277A3">
              <w:rPr>
                <w:sz w:val="22"/>
                <w:szCs w:val="22"/>
              </w:rPr>
              <w:t>11,0</w:t>
            </w:r>
          </w:p>
        </w:tc>
        <w:tc>
          <w:tcPr>
            <w:tcW w:w="861" w:type="dxa"/>
          </w:tcPr>
          <w:p w:rsidR="002D5A5E" w:rsidRPr="008277A3" w:rsidRDefault="002D5A5E" w:rsidP="0016616A">
            <w:pPr>
              <w:jc w:val="center"/>
              <w:rPr>
                <w:sz w:val="22"/>
                <w:szCs w:val="22"/>
              </w:rPr>
            </w:pPr>
            <w:r w:rsidRPr="008277A3">
              <w:rPr>
                <w:sz w:val="22"/>
                <w:szCs w:val="22"/>
              </w:rPr>
              <w:t>6,0</w:t>
            </w:r>
          </w:p>
        </w:tc>
        <w:tc>
          <w:tcPr>
            <w:tcW w:w="862" w:type="dxa"/>
          </w:tcPr>
          <w:p w:rsidR="002D5A5E" w:rsidRPr="008277A3" w:rsidRDefault="002D5A5E" w:rsidP="0016616A">
            <w:pPr>
              <w:jc w:val="center"/>
              <w:rPr>
                <w:sz w:val="22"/>
                <w:szCs w:val="22"/>
              </w:rPr>
            </w:pPr>
            <w:r w:rsidRPr="008277A3">
              <w:rPr>
                <w:sz w:val="22"/>
                <w:szCs w:val="22"/>
              </w:rPr>
              <w:t>7,0</w:t>
            </w:r>
          </w:p>
        </w:tc>
        <w:tc>
          <w:tcPr>
            <w:tcW w:w="861" w:type="dxa"/>
          </w:tcPr>
          <w:p w:rsidR="002D5A5E" w:rsidRPr="008277A3" w:rsidRDefault="002D5A5E" w:rsidP="0016616A">
            <w:pPr>
              <w:jc w:val="center"/>
              <w:rPr>
                <w:sz w:val="22"/>
                <w:szCs w:val="22"/>
              </w:rPr>
            </w:pPr>
            <w:r w:rsidRPr="008277A3">
              <w:rPr>
                <w:sz w:val="22"/>
                <w:szCs w:val="22"/>
              </w:rPr>
              <w:t>2</w:t>
            </w:r>
          </w:p>
        </w:tc>
        <w:tc>
          <w:tcPr>
            <w:tcW w:w="861" w:type="dxa"/>
          </w:tcPr>
          <w:p w:rsidR="002D5A5E" w:rsidRPr="008277A3" w:rsidRDefault="002D5A5E" w:rsidP="0016616A">
            <w:pPr>
              <w:jc w:val="center"/>
              <w:rPr>
                <w:sz w:val="22"/>
                <w:szCs w:val="22"/>
              </w:rPr>
            </w:pPr>
            <w:r w:rsidRPr="008277A3">
              <w:rPr>
                <w:sz w:val="22"/>
                <w:szCs w:val="22"/>
              </w:rPr>
              <w:t>2</w:t>
            </w:r>
          </w:p>
        </w:tc>
        <w:tc>
          <w:tcPr>
            <w:tcW w:w="861" w:type="dxa"/>
          </w:tcPr>
          <w:p w:rsidR="002D5A5E" w:rsidRPr="008277A3" w:rsidRDefault="002D5A5E" w:rsidP="0016616A">
            <w:pPr>
              <w:jc w:val="center"/>
              <w:rPr>
                <w:sz w:val="22"/>
                <w:szCs w:val="22"/>
              </w:rPr>
            </w:pPr>
            <w:r w:rsidRPr="008277A3">
              <w:rPr>
                <w:sz w:val="22"/>
                <w:szCs w:val="22"/>
              </w:rPr>
              <w:t>4</w:t>
            </w:r>
          </w:p>
        </w:tc>
        <w:tc>
          <w:tcPr>
            <w:tcW w:w="862" w:type="dxa"/>
          </w:tcPr>
          <w:p w:rsidR="002D5A5E" w:rsidRPr="008277A3" w:rsidRDefault="002D5A5E" w:rsidP="0016616A">
            <w:pPr>
              <w:jc w:val="center"/>
              <w:rPr>
                <w:sz w:val="22"/>
                <w:szCs w:val="22"/>
              </w:rPr>
            </w:pPr>
            <w:r w:rsidRPr="008277A3">
              <w:rPr>
                <w:sz w:val="22"/>
                <w:szCs w:val="22"/>
              </w:rPr>
              <w:t>4</w:t>
            </w:r>
          </w:p>
        </w:tc>
      </w:tr>
      <w:tr w:rsidR="002D5A5E" w:rsidRPr="008277A3" w:rsidTr="0016616A">
        <w:trPr>
          <w:trHeight w:val="285"/>
          <w:jc w:val="center"/>
        </w:trPr>
        <w:tc>
          <w:tcPr>
            <w:tcW w:w="2565" w:type="dxa"/>
          </w:tcPr>
          <w:p w:rsidR="002D5A5E" w:rsidRPr="008277A3" w:rsidRDefault="002D5A5E" w:rsidP="0016616A">
            <w:pPr>
              <w:jc w:val="center"/>
              <w:rPr>
                <w:sz w:val="22"/>
                <w:szCs w:val="22"/>
              </w:rPr>
            </w:pPr>
            <w:proofErr w:type="spellStart"/>
            <w:r w:rsidRPr="008277A3">
              <w:rPr>
                <w:sz w:val="22"/>
                <w:szCs w:val="22"/>
              </w:rPr>
              <w:t>Компанія</w:t>
            </w:r>
            <w:proofErr w:type="spellEnd"/>
            <w:proofErr w:type="gramStart"/>
            <w:r w:rsidRPr="008277A3">
              <w:rPr>
                <w:sz w:val="22"/>
                <w:szCs w:val="22"/>
              </w:rPr>
              <w:t xml:space="preserve"> В</w:t>
            </w:r>
            <w:proofErr w:type="gramEnd"/>
          </w:p>
        </w:tc>
        <w:tc>
          <w:tcPr>
            <w:tcW w:w="861" w:type="dxa"/>
          </w:tcPr>
          <w:p w:rsidR="002D5A5E" w:rsidRPr="008277A3" w:rsidRDefault="002D5A5E" w:rsidP="0016616A">
            <w:pPr>
              <w:jc w:val="center"/>
              <w:rPr>
                <w:sz w:val="22"/>
                <w:szCs w:val="22"/>
              </w:rPr>
            </w:pPr>
            <w:r w:rsidRPr="008277A3">
              <w:rPr>
                <w:sz w:val="22"/>
                <w:szCs w:val="22"/>
              </w:rPr>
              <w:t>2,5</w:t>
            </w:r>
          </w:p>
        </w:tc>
        <w:tc>
          <w:tcPr>
            <w:tcW w:w="861" w:type="dxa"/>
          </w:tcPr>
          <w:p w:rsidR="002D5A5E" w:rsidRPr="008277A3" w:rsidRDefault="002D5A5E" w:rsidP="0016616A">
            <w:pPr>
              <w:jc w:val="center"/>
              <w:rPr>
                <w:sz w:val="22"/>
                <w:szCs w:val="22"/>
              </w:rPr>
            </w:pPr>
            <w:r w:rsidRPr="008277A3">
              <w:rPr>
                <w:sz w:val="22"/>
                <w:szCs w:val="22"/>
              </w:rPr>
              <w:t>3,0</w:t>
            </w:r>
          </w:p>
        </w:tc>
        <w:tc>
          <w:tcPr>
            <w:tcW w:w="861" w:type="dxa"/>
          </w:tcPr>
          <w:p w:rsidR="002D5A5E" w:rsidRPr="008277A3" w:rsidRDefault="002D5A5E" w:rsidP="0016616A">
            <w:pPr>
              <w:jc w:val="center"/>
              <w:rPr>
                <w:sz w:val="22"/>
                <w:szCs w:val="22"/>
              </w:rPr>
            </w:pPr>
            <w:r w:rsidRPr="008277A3">
              <w:rPr>
                <w:sz w:val="22"/>
                <w:szCs w:val="22"/>
              </w:rPr>
              <w:t>3,1</w:t>
            </w:r>
          </w:p>
        </w:tc>
        <w:tc>
          <w:tcPr>
            <w:tcW w:w="862" w:type="dxa"/>
          </w:tcPr>
          <w:p w:rsidR="002D5A5E" w:rsidRPr="008277A3" w:rsidRDefault="002D5A5E" w:rsidP="0016616A">
            <w:pPr>
              <w:jc w:val="center"/>
              <w:rPr>
                <w:sz w:val="22"/>
                <w:szCs w:val="22"/>
              </w:rPr>
            </w:pPr>
            <w:r w:rsidRPr="008277A3">
              <w:rPr>
                <w:sz w:val="22"/>
                <w:szCs w:val="22"/>
              </w:rPr>
              <w:t>3,2</w:t>
            </w:r>
          </w:p>
        </w:tc>
        <w:tc>
          <w:tcPr>
            <w:tcW w:w="861" w:type="dxa"/>
          </w:tcPr>
          <w:p w:rsidR="002D5A5E" w:rsidRPr="008277A3" w:rsidRDefault="002D5A5E" w:rsidP="0016616A">
            <w:pPr>
              <w:jc w:val="center"/>
              <w:rPr>
                <w:sz w:val="22"/>
                <w:szCs w:val="22"/>
              </w:rPr>
            </w:pPr>
            <w:r w:rsidRPr="008277A3">
              <w:rPr>
                <w:sz w:val="22"/>
                <w:szCs w:val="22"/>
              </w:rPr>
              <w:t>10</w:t>
            </w:r>
          </w:p>
        </w:tc>
        <w:tc>
          <w:tcPr>
            <w:tcW w:w="861" w:type="dxa"/>
          </w:tcPr>
          <w:p w:rsidR="002D5A5E" w:rsidRPr="008277A3" w:rsidRDefault="002D5A5E" w:rsidP="0016616A">
            <w:pPr>
              <w:jc w:val="center"/>
              <w:rPr>
                <w:sz w:val="22"/>
                <w:szCs w:val="22"/>
              </w:rPr>
            </w:pPr>
            <w:r w:rsidRPr="008277A3">
              <w:rPr>
                <w:sz w:val="22"/>
                <w:szCs w:val="22"/>
              </w:rPr>
              <w:t>10</w:t>
            </w:r>
          </w:p>
        </w:tc>
        <w:tc>
          <w:tcPr>
            <w:tcW w:w="861" w:type="dxa"/>
          </w:tcPr>
          <w:p w:rsidR="002D5A5E" w:rsidRPr="008277A3" w:rsidRDefault="002D5A5E" w:rsidP="0016616A">
            <w:pPr>
              <w:jc w:val="center"/>
              <w:rPr>
                <w:sz w:val="22"/>
                <w:szCs w:val="22"/>
              </w:rPr>
            </w:pPr>
            <w:r w:rsidRPr="008277A3">
              <w:rPr>
                <w:sz w:val="22"/>
                <w:szCs w:val="22"/>
              </w:rPr>
              <w:t>10</w:t>
            </w:r>
          </w:p>
        </w:tc>
        <w:tc>
          <w:tcPr>
            <w:tcW w:w="862" w:type="dxa"/>
          </w:tcPr>
          <w:p w:rsidR="002D5A5E" w:rsidRPr="008277A3" w:rsidRDefault="002D5A5E" w:rsidP="0016616A">
            <w:pPr>
              <w:jc w:val="center"/>
              <w:rPr>
                <w:sz w:val="22"/>
                <w:szCs w:val="22"/>
              </w:rPr>
            </w:pPr>
            <w:r w:rsidRPr="008277A3">
              <w:rPr>
                <w:sz w:val="22"/>
                <w:szCs w:val="22"/>
              </w:rPr>
              <w:t>10</w:t>
            </w:r>
          </w:p>
        </w:tc>
      </w:tr>
      <w:tr w:rsidR="002D5A5E" w:rsidRPr="008277A3" w:rsidTr="0016616A">
        <w:trPr>
          <w:trHeight w:val="285"/>
          <w:jc w:val="center"/>
        </w:trPr>
        <w:tc>
          <w:tcPr>
            <w:tcW w:w="2565" w:type="dxa"/>
          </w:tcPr>
          <w:p w:rsidR="002D5A5E" w:rsidRPr="008277A3" w:rsidRDefault="002D5A5E" w:rsidP="0016616A">
            <w:pPr>
              <w:jc w:val="center"/>
              <w:rPr>
                <w:sz w:val="22"/>
                <w:szCs w:val="22"/>
              </w:rPr>
            </w:pPr>
            <w:proofErr w:type="spellStart"/>
            <w:r w:rsidRPr="008277A3">
              <w:rPr>
                <w:sz w:val="22"/>
                <w:szCs w:val="22"/>
              </w:rPr>
              <w:t>Компанія</w:t>
            </w:r>
            <w:proofErr w:type="spellEnd"/>
            <w:proofErr w:type="gramStart"/>
            <w:r w:rsidRPr="008277A3">
              <w:rPr>
                <w:sz w:val="22"/>
                <w:szCs w:val="22"/>
              </w:rPr>
              <w:t xml:space="preserve"> С</w:t>
            </w:r>
            <w:proofErr w:type="gramEnd"/>
          </w:p>
        </w:tc>
        <w:tc>
          <w:tcPr>
            <w:tcW w:w="861" w:type="dxa"/>
          </w:tcPr>
          <w:p w:rsidR="002D5A5E" w:rsidRPr="008277A3" w:rsidRDefault="002D5A5E" w:rsidP="0016616A">
            <w:pPr>
              <w:jc w:val="center"/>
              <w:rPr>
                <w:sz w:val="22"/>
                <w:szCs w:val="22"/>
              </w:rPr>
            </w:pPr>
            <w:r w:rsidRPr="008277A3">
              <w:rPr>
                <w:sz w:val="22"/>
                <w:szCs w:val="22"/>
              </w:rPr>
              <w:t>8,0</w:t>
            </w:r>
          </w:p>
        </w:tc>
        <w:tc>
          <w:tcPr>
            <w:tcW w:w="861" w:type="dxa"/>
          </w:tcPr>
          <w:p w:rsidR="002D5A5E" w:rsidRPr="008277A3" w:rsidRDefault="002D5A5E" w:rsidP="0016616A">
            <w:pPr>
              <w:jc w:val="center"/>
              <w:rPr>
                <w:sz w:val="22"/>
                <w:szCs w:val="22"/>
              </w:rPr>
            </w:pPr>
            <w:r w:rsidRPr="008277A3">
              <w:rPr>
                <w:sz w:val="22"/>
                <w:szCs w:val="22"/>
              </w:rPr>
              <w:t>9,0</w:t>
            </w:r>
          </w:p>
        </w:tc>
        <w:tc>
          <w:tcPr>
            <w:tcW w:w="861" w:type="dxa"/>
          </w:tcPr>
          <w:p w:rsidR="002D5A5E" w:rsidRPr="008277A3" w:rsidRDefault="002D5A5E" w:rsidP="0016616A">
            <w:pPr>
              <w:jc w:val="center"/>
              <w:rPr>
                <w:sz w:val="22"/>
                <w:szCs w:val="22"/>
              </w:rPr>
            </w:pPr>
            <w:r w:rsidRPr="008277A3">
              <w:rPr>
                <w:sz w:val="22"/>
                <w:szCs w:val="22"/>
              </w:rPr>
              <w:t>5,0</w:t>
            </w:r>
          </w:p>
        </w:tc>
        <w:tc>
          <w:tcPr>
            <w:tcW w:w="862" w:type="dxa"/>
          </w:tcPr>
          <w:p w:rsidR="002D5A5E" w:rsidRPr="008277A3" w:rsidRDefault="002D5A5E" w:rsidP="0016616A">
            <w:pPr>
              <w:jc w:val="center"/>
              <w:rPr>
                <w:sz w:val="22"/>
                <w:szCs w:val="22"/>
              </w:rPr>
            </w:pPr>
            <w:r w:rsidRPr="008277A3">
              <w:rPr>
                <w:sz w:val="22"/>
                <w:szCs w:val="22"/>
              </w:rPr>
              <w:t>7,0</w:t>
            </w:r>
          </w:p>
        </w:tc>
        <w:tc>
          <w:tcPr>
            <w:tcW w:w="861" w:type="dxa"/>
          </w:tcPr>
          <w:p w:rsidR="002D5A5E" w:rsidRPr="008277A3" w:rsidRDefault="002D5A5E" w:rsidP="0016616A">
            <w:pPr>
              <w:jc w:val="center"/>
              <w:rPr>
                <w:sz w:val="22"/>
                <w:szCs w:val="22"/>
              </w:rPr>
            </w:pPr>
            <w:r w:rsidRPr="008277A3">
              <w:rPr>
                <w:sz w:val="22"/>
                <w:szCs w:val="22"/>
              </w:rPr>
              <w:t>5</w:t>
            </w:r>
          </w:p>
        </w:tc>
        <w:tc>
          <w:tcPr>
            <w:tcW w:w="861" w:type="dxa"/>
          </w:tcPr>
          <w:p w:rsidR="002D5A5E" w:rsidRPr="008277A3" w:rsidRDefault="002D5A5E" w:rsidP="0016616A">
            <w:pPr>
              <w:jc w:val="center"/>
              <w:rPr>
                <w:sz w:val="22"/>
                <w:szCs w:val="22"/>
              </w:rPr>
            </w:pPr>
            <w:r w:rsidRPr="008277A3">
              <w:rPr>
                <w:sz w:val="22"/>
                <w:szCs w:val="22"/>
              </w:rPr>
              <w:t>5</w:t>
            </w:r>
          </w:p>
        </w:tc>
        <w:tc>
          <w:tcPr>
            <w:tcW w:w="861" w:type="dxa"/>
          </w:tcPr>
          <w:p w:rsidR="002D5A5E" w:rsidRPr="008277A3" w:rsidRDefault="002D5A5E" w:rsidP="0016616A">
            <w:pPr>
              <w:jc w:val="center"/>
              <w:rPr>
                <w:sz w:val="22"/>
                <w:szCs w:val="22"/>
              </w:rPr>
            </w:pPr>
            <w:r w:rsidRPr="008277A3">
              <w:rPr>
                <w:sz w:val="22"/>
                <w:szCs w:val="22"/>
              </w:rPr>
              <w:t>10</w:t>
            </w:r>
          </w:p>
        </w:tc>
        <w:tc>
          <w:tcPr>
            <w:tcW w:w="862" w:type="dxa"/>
          </w:tcPr>
          <w:p w:rsidR="002D5A5E" w:rsidRPr="008277A3" w:rsidRDefault="002D5A5E" w:rsidP="0016616A">
            <w:pPr>
              <w:jc w:val="center"/>
              <w:rPr>
                <w:sz w:val="22"/>
                <w:szCs w:val="22"/>
              </w:rPr>
            </w:pPr>
            <w:r w:rsidRPr="008277A3">
              <w:rPr>
                <w:sz w:val="22"/>
                <w:szCs w:val="22"/>
              </w:rPr>
              <w:t>10</w:t>
            </w:r>
          </w:p>
        </w:tc>
      </w:tr>
      <w:tr w:rsidR="002D5A5E" w:rsidRPr="008277A3" w:rsidTr="0016616A">
        <w:trPr>
          <w:trHeight w:val="304"/>
          <w:jc w:val="center"/>
        </w:trPr>
        <w:tc>
          <w:tcPr>
            <w:tcW w:w="2565" w:type="dxa"/>
          </w:tcPr>
          <w:p w:rsidR="002D5A5E" w:rsidRPr="008277A3" w:rsidRDefault="002D5A5E" w:rsidP="0016616A">
            <w:pPr>
              <w:jc w:val="center"/>
              <w:rPr>
                <w:sz w:val="22"/>
                <w:szCs w:val="22"/>
              </w:rPr>
            </w:pPr>
            <w:proofErr w:type="spellStart"/>
            <w:r w:rsidRPr="008277A3">
              <w:rPr>
                <w:sz w:val="22"/>
                <w:szCs w:val="22"/>
              </w:rPr>
              <w:t>Компанія</w:t>
            </w:r>
            <w:proofErr w:type="spellEnd"/>
            <w:proofErr w:type="gramStart"/>
            <w:r w:rsidRPr="008277A3">
              <w:rPr>
                <w:sz w:val="22"/>
                <w:szCs w:val="22"/>
              </w:rPr>
              <w:t xml:space="preserve"> Д</w:t>
            </w:r>
            <w:proofErr w:type="gramEnd"/>
          </w:p>
        </w:tc>
        <w:tc>
          <w:tcPr>
            <w:tcW w:w="861" w:type="dxa"/>
          </w:tcPr>
          <w:p w:rsidR="002D5A5E" w:rsidRPr="008277A3" w:rsidRDefault="002D5A5E" w:rsidP="0016616A">
            <w:pPr>
              <w:jc w:val="center"/>
              <w:rPr>
                <w:sz w:val="22"/>
                <w:szCs w:val="22"/>
              </w:rPr>
            </w:pPr>
            <w:r w:rsidRPr="008277A3">
              <w:rPr>
                <w:sz w:val="22"/>
                <w:szCs w:val="22"/>
              </w:rPr>
              <w:t>10,0</w:t>
            </w:r>
          </w:p>
        </w:tc>
        <w:tc>
          <w:tcPr>
            <w:tcW w:w="861" w:type="dxa"/>
          </w:tcPr>
          <w:p w:rsidR="002D5A5E" w:rsidRPr="008277A3" w:rsidRDefault="002D5A5E" w:rsidP="0016616A">
            <w:pPr>
              <w:jc w:val="center"/>
              <w:rPr>
                <w:sz w:val="22"/>
                <w:szCs w:val="22"/>
              </w:rPr>
            </w:pPr>
            <w:r w:rsidRPr="008277A3">
              <w:rPr>
                <w:sz w:val="22"/>
                <w:szCs w:val="22"/>
              </w:rPr>
              <w:t>12,0</w:t>
            </w:r>
          </w:p>
        </w:tc>
        <w:tc>
          <w:tcPr>
            <w:tcW w:w="861" w:type="dxa"/>
          </w:tcPr>
          <w:p w:rsidR="002D5A5E" w:rsidRPr="008277A3" w:rsidRDefault="002D5A5E" w:rsidP="0016616A">
            <w:pPr>
              <w:jc w:val="center"/>
              <w:rPr>
                <w:sz w:val="22"/>
                <w:szCs w:val="22"/>
              </w:rPr>
            </w:pPr>
            <w:r w:rsidRPr="008277A3">
              <w:rPr>
                <w:sz w:val="22"/>
                <w:szCs w:val="22"/>
              </w:rPr>
              <w:t>11,0</w:t>
            </w:r>
          </w:p>
        </w:tc>
        <w:tc>
          <w:tcPr>
            <w:tcW w:w="862" w:type="dxa"/>
          </w:tcPr>
          <w:p w:rsidR="002D5A5E" w:rsidRPr="008277A3" w:rsidRDefault="002D5A5E" w:rsidP="0016616A">
            <w:pPr>
              <w:jc w:val="center"/>
              <w:rPr>
                <w:sz w:val="22"/>
                <w:szCs w:val="22"/>
              </w:rPr>
            </w:pPr>
            <w:r w:rsidRPr="008277A3">
              <w:rPr>
                <w:sz w:val="22"/>
                <w:szCs w:val="22"/>
              </w:rPr>
              <w:t>13,0</w:t>
            </w:r>
          </w:p>
        </w:tc>
        <w:tc>
          <w:tcPr>
            <w:tcW w:w="861" w:type="dxa"/>
          </w:tcPr>
          <w:p w:rsidR="002D5A5E" w:rsidRPr="008277A3" w:rsidRDefault="002D5A5E" w:rsidP="0016616A">
            <w:pPr>
              <w:jc w:val="center"/>
              <w:rPr>
                <w:sz w:val="22"/>
                <w:szCs w:val="22"/>
              </w:rPr>
            </w:pPr>
            <w:r w:rsidRPr="008277A3">
              <w:rPr>
                <w:sz w:val="22"/>
                <w:szCs w:val="22"/>
              </w:rPr>
              <w:t>6</w:t>
            </w:r>
          </w:p>
        </w:tc>
        <w:tc>
          <w:tcPr>
            <w:tcW w:w="861" w:type="dxa"/>
          </w:tcPr>
          <w:p w:rsidR="002D5A5E" w:rsidRPr="008277A3" w:rsidRDefault="002D5A5E" w:rsidP="0016616A">
            <w:pPr>
              <w:jc w:val="center"/>
              <w:rPr>
                <w:sz w:val="22"/>
                <w:szCs w:val="22"/>
              </w:rPr>
            </w:pPr>
            <w:r w:rsidRPr="008277A3">
              <w:rPr>
                <w:sz w:val="22"/>
                <w:szCs w:val="22"/>
              </w:rPr>
              <w:t>6</w:t>
            </w:r>
          </w:p>
        </w:tc>
        <w:tc>
          <w:tcPr>
            <w:tcW w:w="861" w:type="dxa"/>
          </w:tcPr>
          <w:p w:rsidR="002D5A5E" w:rsidRPr="008277A3" w:rsidRDefault="002D5A5E" w:rsidP="0016616A">
            <w:pPr>
              <w:jc w:val="center"/>
              <w:rPr>
                <w:sz w:val="22"/>
                <w:szCs w:val="22"/>
              </w:rPr>
            </w:pPr>
            <w:r w:rsidRPr="008277A3">
              <w:rPr>
                <w:sz w:val="22"/>
                <w:szCs w:val="22"/>
              </w:rPr>
              <w:t>6</w:t>
            </w:r>
          </w:p>
        </w:tc>
        <w:tc>
          <w:tcPr>
            <w:tcW w:w="862" w:type="dxa"/>
          </w:tcPr>
          <w:p w:rsidR="002D5A5E" w:rsidRPr="008277A3" w:rsidRDefault="002D5A5E" w:rsidP="0016616A">
            <w:pPr>
              <w:jc w:val="center"/>
              <w:rPr>
                <w:sz w:val="22"/>
                <w:szCs w:val="22"/>
              </w:rPr>
            </w:pPr>
            <w:r w:rsidRPr="008277A3">
              <w:rPr>
                <w:sz w:val="22"/>
                <w:szCs w:val="22"/>
              </w:rPr>
              <w:t>6</w:t>
            </w:r>
          </w:p>
        </w:tc>
      </w:tr>
    </w:tbl>
    <w:p w:rsidR="002D5A5E" w:rsidRPr="008277A3" w:rsidRDefault="002D5A5E" w:rsidP="002D5A5E">
      <w:pPr>
        <w:ind w:firstLine="709"/>
        <w:jc w:val="both"/>
        <w:rPr>
          <w:b/>
          <w:iCs/>
          <w:sz w:val="28"/>
          <w:szCs w:val="28"/>
          <w:lang w:val="uk-UA"/>
        </w:rPr>
      </w:pPr>
    </w:p>
    <w:p w:rsidR="002D5A5E" w:rsidRPr="008277A3" w:rsidRDefault="002D5A5E" w:rsidP="002D5A5E">
      <w:pPr>
        <w:ind w:firstLine="709"/>
        <w:jc w:val="both"/>
        <w:rPr>
          <w:sz w:val="28"/>
          <w:szCs w:val="28"/>
          <w:lang w:val="uk-UA"/>
        </w:rPr>
      </w:pPr>
      <w:r w:rsidRPr="008277A3">
        <w:rPr>
          <w:b/>
          <w:iCs/>
          <w:sz w:val="28"/>
          <w:szCs w:val="28"/>
          <w:lang w:val="uk-UA"/>
        </w:rPr>
        <w:t>Завдання</w:t>
      </w:r>
      <w:r w:rsidRPr="008277A3">
        <w:rPr>
          <w:b/>
          <w:iCs/>
          <w:spacing w:val="1"/>
          <w:sz w:val="28"/>
          <w:szCs w:val="28"/>
          <w:lang w:val="uk-UA"/>
        </w:rPr>
        <w:t xml:space="preserve"> 7</w:t>
      </w:r>
      <w:r w:rsidRPr="008277A3">
        <w:rPr>
          <w:b/>
          <w:iCs/>
          <w:sz w:val="28"/>
          <w:szCs w:val="28"/>
          <w:lang w:val="uk-UA"/>
        </w:rPr>
        <w:t>.</w:t>
      </w:r>
      <w:r w:rsidRPr="008277A3">
        <w:rPr>
          <w:b/>
          <w:iCs/>
          <w:spacing w:val="1"/>
          <w:sz w:val="28"/>
          <w:szCs w:val="28"/>
          <w:lang w:val="uk-UA"/>
        </w:rPr>
        <w:t xml:space="preserve"> </w:t>
      </w:r>
      <w:r w:rsidRPr="008277A3">
        <w:rPr>
          <w:sz w:val="28"/>
          <w:szCs w:val="28"/>
          <w:lang w:val="uk-UA"/>
        </w:rPr>
        <w:t>За облігацією номіналом 2000 грн купонна ставка дорівнює 14 % річних, а купонні виплати відбуваються один раз на рік. Відомо, що інвестор придбав цю облігацію за номіналом. Як зміниться доходність облігації на ринку,  якщо ціна облігації на ринку збільшиться до 2200 грн, або знизиться до 1800  грн.</w:t>
      </w:r>
    </w:p>
    <w:p w:rsidR="002D5A5E" w:rsidRPr="008277A3" w:rsidRDefault="002D5A5E" w:rsidP="002D5A5E">
      <w:pPr>
        <w:ind w:firstLine="709"/>
        <w:jc w:val="both"/>
        <w:rPr>
          <w:rFonts w:eastAsia="Arial Unicode MS"/>
          <w:b/>
          <w:i/>
          <w:sz w:val="28"/>
          <w:szCs w:val="28"/>
          <w:lang w:val="uk-UA" w:eastAsia="zh-TW"/>
        </w:rPr>
      </w:pPr>
    </w:p>
    <w:p w:rsidR="002D5A5E" w:rsidRPr="008277A3" w:rsidRDefault="002D5A5E" w:rsidP="002D5A5E">
      <w:pPr>
        <w:jc w:val="center"/>
        <w:rPr>
          <w:b/>
          <w:sz w:val="28"/>
          <w:szCs w:val="28"/>
          <w:lang w:val="uk-UA"/>
        </w:rPr>
      </w:pPr>
    </w:p>
    <w:p w:rsidR="00FC6E36" w:rsidRPr="00F3601E" w:rsidRDefault="00FC6E36" w:rsidP="002D5A5E">
      <w:pPr>
        <w:pStyle w:val="a3"/>
        <w:ind w:firstLine="709"/>
        <w:jc w:val="both"/>
        <w:rPr>
          <w:lang w:val="uk-UA"/>
        </w:rPr>
      </w:pPr>
      <w:bookmarkStart w:id="0" w:name="_GoBack"/>
      <w:bookmarkEnd w:id="0"/>
    </w:p>
    <w:sectPr w:rsidR="00FC6E36" w:rsidRPr="00F3601E" w:rsidSect="006858B9">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3D"/>
    <w:rsid w:val="002560CA"/>
    <w:rsid w:val="002D5A5E"/>
    <w:rsid w:val="002E7ED7"/>
    <w:rsid w:val="003C5435"/>
    <w:rsid w:val="004C679D"/>
    <w:rsid w:val="006858B9"/>
    <w:rsid w:val="00690E3D"/>
    <w:rsid w:val="009B592B"/>
    <w:rsid w:val="00F3601E"/>
    <w:rsid w:val="00FC6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E3D"/>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690E3D"/>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7"/>
    <w:basedOn w:val="a"/>
    <w:link w:val="11"/>
    <w:rsid w:val="00690E3D"/>
    <w:pPr>
      <w:jc w:val="center"/>
    </w:pPr>
    <w:rPr>
      <w:b/>
      <w:i/>
      <w:sz w:val="28"/>
    </w:rPr>
  </w:style>
  <w:style w:type="character" w:customStyle="1" w:styleId="a4">
    <w:name w:val="Основной текст Знак"/>
    <w:basedOn w:val="a0"/>
    <w:uiPriority w:val="99"/>
    <w:semiHidden/>
    <w:rsid w:val="00690E3D"/>
    <w:rPr>
      <w:rFonts w:ascii="Times New Roman" w:eastAsia="Times New Roman" w:hAnsi="Times New Roman" w:cs="Times New Roman"/>
      <w:sz w:val="20"/>
      <w:szCs w:val="20"/>
      <w:lang w:val="ru-RU" w:eastAsia="ru-RU"/>
    </w:rPr>
  </w:style>
  <w:style w:type="table" w:styleId="a5">
    <w:name w:val="Table Grid"/>
    <w:basedOn w:val="a1"/>
    <w:rsid w:val="00690E3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690E3D"/>
    <w:pPr>
      <w:spacing w:before="100" w:beforeAutospacing="1" w:after="100" w:afterAutospacing="1"/>
    </w:pPr>
    <w:rPr>
      <w:sz w:val="24"/>
      <w:szCs w:val="24"/>
    </w:rPr>
  </w:style>
  <w:style w:type="character" w:customStyle="1" w:styleId="11">
    <w:name w:val="Основной текст Знак1"/>
    <w:aliases w:val="Знак7 Знак"/>
    <w:basedOn w:val="a0"/>
    <w:link w:val="a3"/>
    <w:rsid w:val="00690E3D"/>
    <w:rPr>
      <w:rFonts w:ascii="Times New Roman" w:eastAsia="Times New Roman" w:hAnsi="Times New Roman" w:cs="Times New Roman"/>
      <w:b/>
      <w:i/>
      <w:sz w:val="28"/>
      <w:szCs w:val="20"/>
      <w:lang w:val="ru-RU" w:eastAsia="ru-RU"/>
    </w:rPr>
  </w:style>
  <w:style w:type="table" w:customStyle="1" w:styleId="TableGrid">
    <w:name w:val="TableGrid"/>
    <w:rsid w:val="00690E3D"/>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690E3D"/>
    <w:pPr>
      <w:widowControl w:val="0"/>
      <w:autoSpaceDE w:val="0"/>
      <w:autoSpaceDN w:val="0"/>
      <w:jc w:val="center"/>
    </w:pPr>
    <w:rPr>
      <w:sz w:val="22"/>
      <w:szCs w:val="22"/>
      <w:lang w:val="uk-UA" w:eastAsia="en-US"/>
    </w:rPr>
  </w:style>
  <w:style w:type="character" w:customStyle="1" w:styleId="10">
    <w:name w:val="Заголовок 1 Знак"/>
    <w:aliases w:val="Таблиця назва Знак,Знак14 Знак"/>
    <w:basedOn w:val="a0"/>
    <w:link w:val="1"/>
    <w:rsid w:val="00690E3D"/>
    <w:rPr>
      <w:rFonts w:ascii="Arial" w:eastAsia="Times New Roman" w:hAnsi="Arial" w:cs="Arial"/>
      <w:b/>
      <w:bCs/>
      <w:kern w:val="32"/>
      <w:sz w:val="32"/>
      <w:szCs w:val="32"/>
      <w:lang w:val="ru-RU" w:eastAsia="ru-RU"/>
    </w:rPr>
  </w:style>
  <w:style w:type="paragraph" w:styleId="a7">
    <w:name w:val="Balloon Text"/>
    <w:basedOn w:val="a"/>
    <w:link w:val="a8"/>
    <w:uiPriority w:val="99"/>
    <w:semiHidden/>
    <w:unhideWhenUsed/>
    <w:rsid w:val="00F3601E"/>
    <w:rPr>
      <w:rFonts w:ascii="Tahoma" w:hAnsi="Tahoma" w:cs="Tahoma"/>
      <w:sz w:val="16"/>
      <w:szCs w:val="16"/>
    </w:rPr>
  </w:style>
  <w:style w:type="character" w:customStyle="1" w:styleId="a8">
    <w:name w:val="Текст выноски Знак"/>
    <w:basedOn w:val="a0"/>
    <w:link w:val="a7"/>
    <w:uiPriority w:val="99"/>
    <w:semiHidden/>
    <w:rsid w:val="00F3601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E3D"/>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690E3D"/>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7"/>
    <w:basedOn w:val="a"/>
    <w:link w:val="11"/>
    <w:rsid w:val="00690E3D"/>
    <w:pPr>
      <w:jc w:val="center"/>
    </w:pPr>
    <w:rPr>
      <w:b/>
      <w:i/>
      <w:sz w:val="28"/>
    </w:rPr>
  </w:style>
  <w:style w:type="character" w:customStyle="1" w:styleId="a4">
    <w:name w:val="Основной текст Знак"/>
    <w:basedOn w:val="a0"/>
    <w:uiPriority w:val="99"/>
    <w:semiHidden/>
    <w:rsid w:val="00690E3D"/>
    <w:rPr>
      <w:rFonts w:ascii="Times New Roman" w:eastAsia="Times New Roman" w:hAnsi="Times New Roman" w:cs="Times New Roman"/>
      <w:sz w:val="20"/>
      <w:szCs w:val="20"/>
      <w:lang w:val="ru-RU" w:eastAsia="ru-RU"/>
    </w:rPr>
  </w:style>
  <w:style w:type="table" w:styleId="a5">
    <w:name w:val="Table Grid"/>
    <w:basedOn w:val="a1"/>
    <w:rsid w:val="00690E3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690E3D"/>
    <w:pPr>
      <w:spacing w:before="100" w:beforeAutospacing="1" w:after="100" w:afterAutospacing="1"/>
    </w:pPr>
    <w:rPr>
      <w:sz w:val="24"/>
      <w:szCs w:val="24"/>
    </w:rPr>
  </w:style>
  <w:style w:type="character" w:customStyle="1" w:styleId="11">
    <w:name w:val="Основной текст Знак1"/>
    <w:aliases w:val="Знак7 Знак"/>
    <w:basedOn w:val="a0"/>
    <w:link w:val="a3"/>
    <w:rsid w:val="00690E3D"/>
    <w:rPr>
      <w:rFonts w:ascii="Times New Roman" w:eastAsia="Times New Roman" w:hAnsi="Times New Roman" w:cs="Times New Roman"/>
      <w:b/>
      <w:i/>
      <w:sz w:val="28"/>
      <w:szCs w:val="20"/>
      <w:lang w:val="ru-RU" w:eastAsia="ru-RU"/>
    </w:rPr>
  </w:style>
  <w:style w:type="table" w:customStyle="1" w:styleId="TableGrid">
    <w:name w:val="TableGrid"/>
    <w:rsid w:val="00690E3D"/>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690E3D"/>
    <w:pPr>
      <w:widowControl w:val="0"/>
      <w:autoSpaceDE w:val="0"/>
      <w:autoSpaceDN w:val="0"/>
      <w:jc w:val="center"/>
    </w:pPr>
    <w:rPr>
      <w:sz w:val="22"/>
      <w:szCs w:val="22"/>
      <w:lang w:val="uk-UA" w:eastAsia="en-US"/>
    </w:rPr>
  </w:style>
  <w:style w:type="character" w:customStyle="1" w:styleId="10">
    <w:name w:val="Заголовок 1 Знак"/>
    <w:aliases w:val="Таблиця назва Знак,Знак14 Знак"/>
    <w:basedOn w:val="a0"/>
    <w:link w:val="1"/>
    <w:rsid w:val="00690E3D"/>
    <w:rPr>
      <w:rFonts w:ascii="Arial" w:eastAsia="Times New Roman" w:hAnsi="Arial" w:cs="Arial"/>
      <w:b/>
      <w:bCs/>
      <w:kern w:val="32"/>
      <w:sz w:val="32"/>
      <w:szCs w:val="32"/>
      <w:lang w:val="ru-RU" w:eastAsia="ru-RU"/>
    </w:rPr>
  </w:style>
  <w:style w:type="paragraph" w:styleId="a7">
    <w:name w:val="Balloon Text"/>
    <w:basedOn w:val="a"/>
    <w:link w:val="a8"/>
    <w:uiPriority w:val="99"/>
    <w:semiHidden/>
    <w:unhideWhenUsed/>
    <w:rsid w:val="00F3601E"/>
    <w:rPr>
      <w:rFonts w:ascii="Tahoma" w:hAnsi="Tahoma" w:cs="Tahoma"/>
      <w:sz w:val="16"/>
      <w:szCs w:val="16"/>
    </w:rPr>
  </w:style>
  <w:style w:type="character" w:customStyle="1" w:styleId="a8">
    <w:name w:val="Текст выноски Знак"/>
    <w:basedOn w:val="a0"/>
    <w:link w:val="a7"/>
    <w:uiPriority w:val="99"/>
    <w:semiHidden/>
    <w:rsid w:val="00F360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2025-03-17T04:51:00Z</dcterms:created>
  <dcterms:modified xsi:type="dcterms:W3CDTF">2025-03-17T04:51:00Z</dcterms:modified>
</cp:coreProperties>
</file>