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2201" w14:textId="77777777" w:rsidR="00D73E89" w:rsidRPr="00D73E89" w:rsidRDefault="00D73E89" w:rsidP="00D73E89">
      <w:pPr>
        <w:spacing w:after="0" w:line="240" w:lineRule="auto"/>
        <w:jc w:val="center"/>
        <w:outlineLvl w:val="2"/>
        <w:rPr>
          <w:rFonts w:ascii="Ubuntu Condensed" w:eastAsia="Times New Roman" w:hAnsi="Ubuntu Condensed" w:cs="Times New Roman"/>
          <w:b/>
          <w:bCs/>
          <w:color w:val="000000"/>
          <w:kern w:val="0"/>
          <w:sz w:val="29"/>
          <w:szCs w:val="29"/>
          <w:lang w:eastAsia="uk-UA"/>
          <w14:ligatures w14:val="none"/>
        </w:rPr>
      </w:pPr>
      <w:r w:rsidRPr="00D73E89">
        <w:rPr>
          <w:rFonts w:ascii="Noto Serif" w:eastAsia="Times New Roman" w:hAnsi="Noto Serif" w:cs="Noto Serif"/>
          <w:b/>
          <w:bCs/>
          <w:color w:val="0000FF"/>
          <w:kern w:val="0"/>
          <w:sz w:val="52"/>
          <w:szCs w:val="52"/>
          <w:lang w:eastAsia="uk-UA"/>
          <w14:ligatures w14:val="none"/>
        </w:rPr>
        <w:t>ТЕМА 3. МЕХАНІЗМИ ЄВРОПЕЙСЬКОЇ ВЗАЄМОДІЇ</w:t>
      </w:r>
    </w:p>
    <w:p w14:paraId="0EF76BD0"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 </w:t>
      </w:r>
    </w:p>
    <w:p w14:paraId="44EFD02C"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hyperlink r:id="rId5" w:anchor="3-1" w:history="1">
        <w:r w:rsidRPr="00D73E89">
          <w:rPr>
            <w:rFonts w:ascii="Noto Serif" w:eastAsia="Times New Roman" w:hAnsi="Noto Serif" w:cs="Noto Serif"/>
            <w:color w:val="0000FF"/>
            <w:kern w:val="0"/>
            <w:u w:val="single"/>
            <w:lang w:eastAsia="uk-UA"/>
            <w14:ligatures w14:val="none"/>
          </w:rPr>
          <w:t>3.1 Європейська Конституція</w:t>
        </w:r>
      </w:hyperlink>
    </w:p>
    <w:p w14:paraId="3F11F802"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hyperlink r:id="rId6" w:anchor="3-2" w:history="1">
        <w:r w:rsidRPr="00D73E89">
          <w:rPr>
            <w:rFonts w:ascii="Noto Serif" w:eastAsia="Times New Roman" w:hAnsi="Noto Serif" w:cs="Noto Serif"/>
            <w:color w:val="0000FF"/>
            <w:kern w:val="0"/>
            <w:u w:val="single"/>
            <w:lang w:eastAsia="uk-UA"/>
            <w14:ligatures w14:val="none"/>
          </w:rPr>
          <w:t>3.2 Право Європейського Союзу</w:t>
        </w:r>
      </w:hyperlink>
    </w:p>
    <w:p w14:paraId="2F643E44"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hyperlink r:id="rId7" w:anchor="3-3" w:history="1">
        <w:r w:rsidRPr="00D73E89">
          <w:rPr>
            <w:rFonts w:ascii="Noto Serif" w:eastAsia="Times New Roman" w:hAnsi="Noto Serif" w:cs="Noto Serif"/>
            <w:color w:val="0000FF"/>
            <w:kern w:val="0"/>
            <w:u w:val="single"/>
            <w:lang w:eastAsia="uk-UA"/>
            <w14:ligatures w14:val="none"/>
          </w:rPr>
          <w:t>3.3 Захист прав людини в Європейському Союзі</w:t>
        </w:r>
      </w:hyperlink>
    </w:p>
    <w:p w14:paraId="33B592DE"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hyperlink r:id="rId8" w:anchor="3-4" w:history="1">
        <w:r w:rsidRPr="00D73E89">
          <w:rPr>
            <w:rFonts w:ascii="Noto Serif" w:eastAsia="Times New Roman" w:hAnsi="Noto Serif" w:cs="Noto Serif"/>
            <w:color w:val="0000FF"/>
            <w:kern w:val="0"/>
            <w:u w:val="single"/>
            <w:lang w:eastAsia="uk-UA"/>
            <w14:ligatures w14:val="none"/>
          </w:rPr>
          <w:t>3.4 Бюджет Європейського Союзу</w:t>
        </w:r>
      </w:hyperlink>
    </w:p>
    <w:p w14:paraId="57D01228"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4557B9F" w14:textId="77777777" w:rsidR="00D73E89" w:rsidRPr="00D73E89" w:rsidRDefault="00D73E89" w:rsidP="00D73E89">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D73E89">
        <w:rPr>
          <w:rFonts w:ascii="Noto Serif" w:eastAsia="Times New Roman" w:hAnsi="Noto Serif" w:cs="Noto Serif"/>
          <w:b/>
          <w:bCs/>
          <w:i/>
          <w:iCs/>
          <w:color w:val="000000"/>
          <w:kern w:val="0"/>
          <w:sz w:val="26"/>
          <w:szCs w:val="26"/>
          <w:lang w:eastAsia="uk-UA"/>
          <w14:ligatures w14:val="none"/>
        </w:rPr>
        <w:t>3.1 ЄВРОПЕЙСЬКА КОНСТИТУЦІЯ</w:t>
      </w:r>
    </w:p>
    <w:p w14:paraId="3E745C9A"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 </w:t>
      </w:r>
    </w:p>
    <w:p w14:paraId="1111519F"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НЕОБХІДНІСТЬ ПРИЙНЯТТЯ КОНСТИТУЦІЇ ЄС — </w:t>
      </w:r>
      <w:r w:rsidRPr="00D73E89">
        <w:rPr>
          <w:rFonts w:ascii="Noto Serif" w:eastAsia="Times New Roman" w:hAnsi="Noto Serif" w:cs="Noto Serif"/>
          <w:color w:val="000000"/>
          <w:kern w:val="0"/>
          <w:lang w:eastAsia="uk-UA"/>
          <w14:ligatures w14:val="none"/>
        </w:rPr>
        <w:t>продиктована запровадженням нових форм співробітництва між урядами держав-членів у зв'язку з приходом до Європейського Союзу нової великої групи держав у травні 2004 р. Після низки реформ (поправки Амстердамського 1997 року та Ніццького 2001 договорів</w:t>
      </w:r>
      <w:bookmarkStart w:id="0" w:name="_ftnref23"/>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"http://pidruchniki.com/1584072048487/pravo/pravo_yevropeyskogo_soyuzu." \o "Див. : Право Європейського Союзу  [Електронний ресурс] : підручник / В. І. Муравйов. – К. : Юрінком Інтер, 2011. — 704 с. — Режим доступу : http://pidruchniki.com/1584072048487/pravo/pravo_yevropeyskogo_soyuzu. — Назва з екрана."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[23]</w:t>
      </w:r>
      <w:r w:rsidRPr="00D73E89">
        <w:rPr>
          <w:rFonts w:ascii="Noto Serif" w:eastAsia="Times New Roman" w:hAnsi="Noto Serif" w:cs="Noto Serif"/>
          <w:color w:val="000000"/>
          <w:kern w:val="0"/>
          <w:vertAlign w:val="superscript"/>
          <w:lang w:eastAsia="uk-UA"/>
          <w14:ligatures w14:val="none"/>
        </w:rPr>
        <w:fldChar w:fldCharType="end"/>
      </w:r>
      <w:bookmarkEnd w:id="0"/>
      <w:r w:rsidRPr="00D73E89">
        <w:rPr>
          <w:rFonts w:ascii="Noto Serif" w:eastAsia="Times New Roman" w:hAnsi="Noto Serif" w:cs="Noto Serif"/>
          <w:color w:val="000000"/>
          <w:kern w:val="0"/>
          <w:lang w:eastAsia="uk-UA"/>
          <w14:ligatures w14:val="none"/>
        </w:rPr>
        <w:t>) накопичилося чимало проблем із питань спільної зовнішньої політики,  політики безпеки, а також у сфері правосуддя та внутрішніх справ, розв’язання  яких вимагало негайної реакції з боку керівництва ЄС. Тому країни-учасники дійшли висновку про необхідність  законодавчого закріплення акту, котрий встановлював би  досконалішу модель поділу компетенцій Союзу та держав-членів</w:t>
      </w:r>
      <w:bookmarkStart w:id="1" w:name="_ftnref24"/>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"http://mgimo.ru/upload/iblock/3ba/3ba82658f33ca5bc91b21cecc295c135.pdf." \o "Кавешников Н. Конституция ЕС: неопознанный политический объект приближается [Электронный ресурс] / Н. Кавешников. — Режим доступа : http://mgimo.ru/upload/iblock/3ba/3ba82658f33ca5bc91b21cecc295c135.pdf. — Название с экрана."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[24]</w:t>
      </w:r>
      <w:r w:rsidRPr="00D73E89">
        <w:rPr>
          <w:rFonts w:ascii="Noto Serif" w:eastAsia="Times New Roman" w:hAnsi="Noto Serif" w:cs="Noto Serif"/>
          <w:color w:val="000000"/>
          <w:kern w:val="0"/>
          <w:vertAlign w:val="superscript"/>
          <w:lang w:eastAsia="uk-UA"/>
          <w14:ligatures w14:val="none"/>
        </w:rPr>
        <w:fldChar w:fldCharType="end"/>
      </w:r>
      <w:r w:rsidRPr="00D73E89">
        <w:rPr>
          <w:rFonts w:ascii="Noto Serif" w:eastAsia="Times New Roman" w:hAnsi="Noto Serif" w:cs="Noto Serif"/>
          <w:color w:val="000000"/>
          <w:kern w:val="0"/>
          <w:lang w:eastAsia="uk-UA"/>
          <w14:ligatures w14:val="none"/>
        </w:rPr>
        <w:t>.</w:t>
      </w:r>
    </w:p>
    <w:p w14:paraId="6074F3C9"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b/>
          <w:bCs/>
          <w:kern w:val="0"/>
          <w:lang w:eastAsia="uk-UA"/>
          <w14:ligatures w14:val="none"/>
        </w:rPr>
        <w:t>Мета:</w:t>
      </w:r>
      <w:r w:rsidRPr="00D73E89">
        <w:rPr>
          <w:rFonts w:ascii="Noto Serif" w:eastAsia="Times New Roman" w:hAnsi="Noto Serif" w:cs="Noto Serif"/>
          <w:kern w:val="0"/>
          <w:lang w:eastAsia="uk-UA"/>
          <w14:ligatures w14:val="none"/>
        </w:rPr>
        <w:t> спростити правовий доробок Європейського Союзу шляхом заміни всіх попередніх договорів єдиним, узагальнення законодавчої процедури, зменшення правових інструментів та уточнення повноважень Союзу.</w:t>
      </w:r>
    </w:p>
    <w:p w14:paraId="3ED5DE6D" w14:textId="79185038" w:rsidR="00D73E89" w:rsidRPr="00D73E89" w:rsidRDefault="00D73E89" w:rsidP="00D73E89">
      <w:pPr>
        <w:spacing w:after="0" w:line="259" w:lineRule="atLeast"/>
        <w:ind w:firstLine="480"/>
        <w:jc w:val="both"/>
        <w:rPr>
          <w:rFonts w:ascii="Noto Serif" w:eastAsia="Times New Roman" w:hAnsi="Noto Serif" w:cs="Noto Serif"/>
          <w:kern w:val="0"/>
          <w:sz w:val="24"/>
          <w:szCs w:val="24"/>
          <w:lang w:eastAsia="uk-UA"/>
          <w14:ligatures w14:val="none"/>
        </w:rPr>
      </w:pPr>
      <w:r w:rsidRPr="00D73E89">
        <w:rPr>
          <w:rFonts w:ascii="Noto Serif" w:eastAsia="Times New Roman" w:hAnsi="Noto Serif" w:cs="Noto Serif"/>
          <w:kern w:val="0"/>
          <w:lang w:eastAsia="uk-UA"/>
          <w14:ligatures w14:val="none"/>
        </w:rPr>
        <w:t xml:space="preserve">Створений спеціально для цих цілей Конвент, який розпочав свою роботу 28 лютого 2002 року, розробив Договір, що засновує Конституцію для Європи, який був схвалений на міжурядовій конференції в Брюсселі в червні 2004 р. Офіційне найменування </w:t>
      </w:r>
      <w:proofErr w:type="spellStart"/>
      <w:r w:rsidRPr="00D73E89">
        <w:rPr>
          <w:rFonts w:ascii="Noto Serif" w:eastAsia="Times New Roman" w:hAnsi="Noto Serif" w:cs="Noto Serif"/>
          <w:kern w:val="0"/>
          <w:lang w:eastAsia="uk-UA"/>
          <w14:ligatures w14:val="none"/>
        </w:rPr>
        <w:t>онституційного</w:t>
      </w:r>
      <w:proofErr w:type="spellEnd"/>
      <w:r>
        <w:rPr>
          <w:rFonts w:ascii="Noto Serif" w:eastAsia="Times New Roman" w:hAnsi="Noto Serif" w:cs="Noto Serif"/>
          <w:kern w:val="0"/>
          <w:lang w:eastAsia="uk-UA"/>
          <w14:ligatures w14:val="none"/>
        </w:rPr>
        <w:t xml:space="preserve"> </w:t>
      </w:r>
      <w:r w:rsidRPr="00D73E89">
        <w:rPr>
          <w:rFonts w:ascii="Noto Serif" w:eastAsia="Times New Roman" w:hAnsi="Noto Serif" w:cs="Noto Serif"/>
          <w:kern w:val="0"/>
          <w:lang w:eastAsia="uk-UA"/>
          <w14:ligatures w14:val="none"/>
        </w:rPr>
        <w:t>договору: </w:t>
      </w:r>
      <w:r w:rsidRPr="00D73E89">
        <w:rPr>
          <w:rFonts w:ascii="Noto Serif" w:eastAsia="Times New Roman" w:hAnsi="Noto Serif" w:cs="Noto Serif"/>
          <w:b/>
          <w:bCs/>
          <w:kern w:val="0"/>
          <w:lang w:eastAsia="uk-UA"/>
          <w14:ligatures w14:val="none"/>
        </w:rPr>
        <w:t>«ДОГОВІР, ЩО ЗАСНОВУЄ КОНСТИТУЦІЮ ДЛЯ ЄВРОПИ»</w:t>
      </w:r>
    </w:p>
    <w:p w14:paraId="2DC2C794" w14:textId="618D6B78" w:rsidR="00D73E89" w:rsidRPr="00D73E89" w:rsidRDefault="00D73E89" w:rsidP="00D73E89">
      <w:pPr>
        <w:spacing w:after="0" w:line="240" w:lineRule="auto"/>
        <w:jc w:val="center"/>
        <w:rPr>
          <w:rFonts w:ascii="Noto Serif" w:eastAsia="Times New Roman" w:hAnsi="Noto Serif" w:cs="Noto Serif"/>
          <w:b/>
          <w:bCs/>
          <w:color w:val="FFFF00"/>
          <w:kern w:val="0"/>
          <w:lang w:eastAsia="uk-UA"/>
          <w14:ligatures w14:val="none"/>
        </w:rPr>
      </w:pPr>
      <w:r w:rsidRPr="00D73E89">
        <w:rPr>
          <w:rFonts w:ascii="Noto Serif" w:eastAsia="Times New Roman" w:hAnsi="Noto Serif" w:cs="Noto Serif"/>
          <w:b/>
          <w:bCs/>
          <w:color w:val="FFFF00"/>
          <w:kern w:val="0"/>
          <w:lang w:eastAsia="uk-UA"/>
          <w14:ligatures w14:val="none"/>
        </w:rPr>
        <w:t>                </w:t>
      </w:r>
    </w:p>
    <w:p w14:paraId="5C81C456" w14:textId="5FE541C0"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955EDB5"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СТРУКТУРА КОНСТИТУЦІЇ — </w:t>
      </w:r>
      <w:r w:rsidRPr="00D73E89">
        <w:rPr>
          <w:rFonts w:ascii="Noto Serif" w:eastAsia="Times New Roman" w:hAnsi="Noto Serif" w:cs="Noto Serif"/>
          <w:color w:val="000000"/>
          <w:kern w:val="0"/>
          <w:lang w:eastAsia="uk-UA"/>
          <w14:ligatures w14:val="none"/>
        </w:rPr>
        <w:t>характерна для національних конституцій держав.  Текст Конституції для Європи написаний 21 офіційною мовою розширеного Євросоюзу.</w:t>
      </w:r>
    </w:p>
    <w:p w14:paraId="708D2A1E"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Договір про запровадження Конституції складається з Преамбули, 448 статей, викладених у чотирьох частинах, та додаткових протоколів, 60 000 слів, що робило європейську конституцію за своїм обсягом  найбільш масштабним і докладним конституційним актом в світі (разом із Конституцією Індії від 1950 року).</w:t>
      </w:r>
    </w:p>
    <w:p w14:paraId="7295BA5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51B1FD4"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lastRenderedPageBreak/>
        <w:drawing>
          <wp:inline distT="0" distB="0" distL="0" distR="0" wp14:anchorId="663614FA" wp14:editId="43CFA8D1">
            <wp:extent cx="6887845" cy="7832090"/>
            <wp:effectExtent l="0" t="0" r="8255" b="0"/>
            <wp:docPr id="17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7845" cy="7832090"/>
                    </a:xfrm>
                    <a:prstGeom prst="rect">
                      <a:avLst/>
                    </a:prstGeom>
                    <a:noFill/>
                    <a:ln>
                      <a:noFill/>
                    </a:ln>
                  </pic:spPr>
                </pic:pic>
              </a:graphicData>
            </a:graphic>
          </wp:inline>
        </w:drawing>
      </w:r>
    </w:p>
    <w:p w14:paraId="2CA10213"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Рис. 3.1 Структура Європейської Конституції</w:t>
      </w:r>
    </w:p>
    <w:p w14:paraId="37D968B2"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2A924DAE"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НАЙГОЛОВНІШІ ЗДОБУТКИ КОНСТИТУЦІЇ</w:t>
      </w:r>
      <w:hyperlink r:id="rId10" w:tooltip="Детальніше : Жадько О. С. Конституція для об’єднаної Європи [Електронний ресурс] / О.С. Жадько. — Режим доступу : http://old.minjust.gov.ua/6587. — Назва з екрана." w:history="1">
        <w:r w:rsidRPr="00D73E89">
          <w:rPr>
            <w:rFonts w:ascii="Noto Serif" w:eastAsia="Times New Roman" w:hAnsi="Noto Serif" w:cs="Noto Serif"/>
            <w:color w:val="0000FF"/>
            <w:kern w:val="0"/>
            <w:u w:val="single"/>
            <w:vertAlign w:val="superscript"/>
            <w:lang w:eastAsia="uk-UA"/>
            <w14:ligatures w14:val="none"/>
          </w:rPr>
          <w:t>[25]</w:t>
        </w:r>
      </w:hyperlink>
      <w:bookmarkEnd w:id="1"/>
      <w:r w:rsidRPr="00D73E89">
        <w:rPr>
          <w:rFonts w:ascii="Noto Serif" w:eastAsia="Times New Roman" w:hAnsi="Noto Serif" w:cs="Noto Serif"/>
          <w:color w:val="000000"/>
          <w:kern w:val="0"/>
          <w:lang w:eastAsia="uk-UA"/>
          <w14:ligatures w14:val="none"/>
        </w:rPr>
        <w:t> Європейського Союзу:</w:t>
      </w:r>
    </w:p>
    <w:p w14:paraId="49BADDF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20E1E05D"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108C2648" wp14:editId="6BA54F27">
            <wp:extent cx="158750" cy="158750"/>
            <wp:effectExtent l="0" t="0" r="0" b="0"/>
            <wp:docPr id="173"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проголошується відкритість ЄС для «всіх європейських країн, які поважають цінності ЄС і вважають за потрібне втілювати їх спільно»;</w:t>
      </w:r>
    </w:p>
    <w:p w14:paraId="146919E4"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3FDA7172" wp14:editId="3A3EFA02">
            <wp:extent cx="158750" cy="158750"/>
            <wp:effectExtent l="0" t="0" r="0" b="0"/>
            <wp:docPr id="174"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Конституція підтверджує принцип вільного пересування людей, товарів, послуг і капіталів, однак наголошує, що ЄС «поважатиме національні ідентичності країн-членів, базовані на їхній політичній та конституційній структурі»;</w:t>
      </w:r>
    </w:p>
    <w:p w14:paraId="1F130BF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lastRenderedPageBreak/>
        <w:drawing>
          <wp:inline distT="0" distB="0" distL="0" distR="0" wp14:anchorId="1D09DF2B" wp14:editId="1EC33031">
            <wp:extent cx="158750" cy="158750"/>
            <wp:effectExtent l="0" t="0" r="0" b="0"/>
            <wp:docPr id="175"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громадянство Союзу не витісняє громадянства держав-членів, а лише доповнює його. Громадянин ЄС має право голосувати і висуватися на виборах до Європейського парламенту, звертатися до органів ЄС будь-якою офіційною мовою ЄС і отримувати відповідь цією ж мовою;</w:t>
      </w:r>
    </w:p>
    <w:p w14:paraId="38BE7E7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411C8AC9" wp14:editId="7F0529B1">
            <wp:extent cx="158750" cy="158750"/>
            <wp:effectExtent l="0" t="0" r="0" b="0"/>
            <wp:docPr id="176"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зміцнення легітимності Європейського Союзу, зростання його авторитету на міжнародній арені і рівня самоідентифікації;</w:t>
      </w:r>
    </w:p>
    <w:p w14:paraId="7F064124"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041D61FE" wp14:editId="7644F5F5">
            <wp:extent cx="158750" cy="158750"/>
            <wp:effectExtent l="0" t="0" r="0" b="0"/>
            <wp:docPr id="177"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вдосконалено структуру інститутів та органів Європейського Союзу шляхом їх демократизації;</w:t>
      </w:r>
    </w:p>
    <w:p w14:paraId="2DFDFED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4E9CAA0B" wp14:editId="6B345384">
            <wp:extent cx="158750" cy="158750"/>
            <wp:effectExtent l="0" t="0" r="0" b="0"/>
            <wp:docPr id="178"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запроваджено досконалішу модель поділу компетенцій; значно спроститься система нормативно-правових актів Європейського Союзу.</w:t>
      </w:r>
    </w:p>
    <w:p w14:paraId="04261BD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5174E1E4" wp14:editId="0C0ADA3F">
            <wp:extent cx="158750" cy="158750"/>
            <wp:effectExtent l="0" t="0" r="0" b="0"/>
            <wp:docPr id="179"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xml:space="preserve">   Європейський Союз набуває статусу юридичної особи й заміняє собою Європейське співтовариство та </w:t>
      </w:r>
      <w:proofErr w:type="spellStart"/>
      <w:r w:rsidRPr="00D73E89">
        <w:rPr>
          <w:rFonts w:ascii="Noto Serif" w:eastAsia="Times New Roman" w:hAnsi="Noto Serif" w:cs="Noto Serif"/>
          <w:color w:val="000000"/>
          <w:kern w:val="0"/>
          <w:lang w:eastAsia="uk-UA"/>
          <w14:ligatures w14:val="none"/>
        </w:rPr>
        <w:t>Євроатом</w:t>
      </w:r>
      <w:proofErr w:type="spellEnd"/>
      <w:r w:rsidRPr="00D73E89">
        <w:rPr>
          <w:rFonts w:ascii="Noto Serif" w:eastAsia="Times New Roman" w:hAnsi="Noto Serif" w:cs="Noto Serif"/>
          <w:color w:val="000000"/>
          <w:kern w:val="0"/>
          <w:lang w:eastAsia="uk-UA"/>
          <w14:ligatures w14:val="none"/>
        </w:rPr>
        <w:t xml:space="preserve">. Замість трьох Установчих угод з їх численними змінами й доповненнями </w:t>
      </w:r>
      <w:proofErr w:type="spellStart"/>
      <w:r w:rsidRPr="00D73E89">
        <w:rPr>
          <w:rFonts w:ascii="Noto Serif" w:eastAsia="Times New Roman" w:hAnsi="Noto Serif" w:cs="Noto Serif"/>
          <w:color w:val="000000"/>
          <w:kern w:val="0"/>
          <w:lang w:eastAsia="uk-UA"/>
          <w14:ligatures w14:val="none"/>
        </w:rPr>
        <w:t>євробудівництво</w:t>
      </w:r>
      <w:proofErr w:type="spellEnd"/>
      <w:r w:rsidRPr="00D73E89">
        <w:rPr>
          <w:rFonts w:ascii="Noto Serif" w:eastAsia="Times New Roman" w:hAnsi="Noto Serif" w:cs="Noto Serif"/>
          <w:color w:val="000000"/>
          <w:kern w:val="0"/>
          <w:lang w:eastAsia="uk-UA"/>
          <w14:ligatures w14:val="none"/>
        </w:rPr>
        <w:t xml:space="preserve"> отримує єдиний конституційний текст.</w:t>
      </w:r>
    </w:p>
    <w:p w14:paraId="4507584E"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45D38792"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ПІДПИСАННЯ КОНСТИТУЦІЙНОГО ДОГОВОРУ</w:t>
      </w:r>
      <w:r w:rsidRPr="00D73E89">
        <w:rPr>
          <w:rFonts w:ascii="Noto Serif" w:eastAsia="Times New Roman" w:hAnsi="Noto Serif" w:cs="Noto Serif"/>
          <w:color w:val="000000"/>
          <w:kern w:val="0"/>
          <w:lang w:eastAsia="uk-UA"/>
          <w14:ligatures w14:val="none"/>
        </w:rPr>
        <w:t> відбулося </w:t>
      </w:r>
      <w:r w:rsidRPr="00D73E89">
        <w:rPr>
          <w:rFonts w:ascii="Noto Serif" w:eastAsia="Times New Roman" w:hAnsi="Noto Serif" w:cs="Noto Serif"/>
          <w:b/>
          <w:bCs/>
          <w:color w:val="000000"/>
          <w:kern w:val="0"/>
          <w:lang w:eastAsia="uk-UA"/>
          <w14:ligatures w14:val="none"/>
        </w:rPr>
        <w:t>29 жовтня 2004 року</w:t>
      </w:r>
      <w:r w:rsidRPr="00D73E89">
        <w:rPr>
          <w:rFonts w:ascii="Noto Serif" w:eastAsia="Times New Roman" w:hAnsi="Noto Serif" w:cs="Noto Serif"/>
          <w:color w:val="000000"/>
          <w:kern w:val="0"/>
          <w:lang w:eastAsia="uk-UA"/>
          <w14:ligatures w14:val="none"/>
        </w:rPr>
        <w:t> в Римі. До цього 18 червня 2004 року Конституційний договір був ухвалений главами держав та урядів 25 країн ЄС. Він мав набути чинності після ратифікації в усіх країнах Європейського Союзу.</w:t>
      </w:r>
    </w:p>
    <w:p w14:paraId="5F04C0B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5461C355"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ПРОЦЕС РАТИФІКАЦІЇ КОНСТИТУЦІЇ</w:t>
      </w:r>
      <w:r w:rsidRPr="00D73E89">
        <w:rPr>
          <w:rFonts w:ascii="Noto Serif" w:eastAsia="Times New Roman" w:hAnsi="Noto Serif" w:cs="Noto Serif"/>
          <w:color w:val="000000"/>
          <w:kern w:val="0"/>
          <w:lang w:eastAsia="uk-UA"/>
          <w14:ligatures w14:val="none"/>
        </w:rPr>
        <w:t> для Європи в державах-членах виявився досить складним та непередбачуваним. Першою державою-членом, яка ратифікувала Конституцію для Європи, була Іспанія. Станом на кінець 2005 року Конституційний договір ратифікували: Австрія, Греція, Італія, Кіпр, Латвія, Литва, Люксембург, Мальта, Німеччина, Словаччина, Словенія, Угорщина.</w:t>
      </w:r>
    </w:p>
    <w:p w14:paraId="458F7D14"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tbl>
      <w:tblPr>
        <w:tblW w:w="116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0"/>
        <w:gridCol w:w="3750"/>
        <w:gridCol w:w="3870"/>
      </w:tblGrid>
      <w:tr w:rsidR="00D73E89" w:rsidRPr="00D73E89" w14:paraId="1A1D55EE" w14:textId="77777777" w:rsidTr="00D73E89">
        <w:trPr>
          <w:jc w:val="center"/>
        </w:trPr>
        <w:tc>
          <w:tcPr>
            <w:tcW w:w="0" w:type="auto"/>
            <w:gridSpan w:val="3"/>
            <w:tcBorders>
              <w:top w:val="nil"/>
              <w:left w:val="nil"/>
              <w:bottom w:val="nil"/>
              <w:right w:val="nil"/>
            </w:tcBorders>
            <w:tcMar>
              <w:top w:w="60" w:type="dxa"/>
              <w:left w:w="75" w:type="dxa"/>
              <w:bottom w:w="60" w:type="dxa"/>
              <w:right w:w="75" w:type="dxa"/>
            </w:tcMar>
            <w:vAlign w:val="center"/>
            <w:hideMark/>
          </w:tcPr>
          <w:p w14:paraId="2CBE4301" w14:textId="77777777" w:rsidR="00D73E89" w:rsidRPr="00D73E89" w:rsidRDefault="00D73E89" w:rsidP="00D73E89">
            <w:pPr>
              <w:spacing w:after="0" w:line="240" w:lineRule="auto"/>
              <w:jc w:val="center"/>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Табл. 3.1 — Процес  ратифікації Конституції ЄС</w:t>
            </w:r>
          </w:p>
        </w:tc>
      </w:tr>
      <w:tr w:rsidR="00D73E89" w:rsidRPr="00D73E89" w14:paraId="30301EE1"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27659C2"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Дата референдуму</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15E6090" w14:textId="77777777" w:rsidR="00D73E89" w:rsidRPr="00D73E89" w:rsidRDefault="00D73E89" w:rsidP="00D73E89">
            <w:pPr>
              <w:spacing w:after="0" w:line="240" w:lineRule="auto"/>
              <w:jc w:val="center"/>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Країна</w:t>
            </w:r>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CAB3C2B" w14:textId="77777777" w:rsidR="00D73E89" w:rsidRPr="00D73E89" w:rsidRDefault="00D73E89" w:rsidP="00D73E89">
            <w:pPr>
              <w:spacing w:after="0" w:line="240" w:lineRule="auto"/>
              <w:jc w:val="center"/>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Результат</w:t>
            </w:r>
          </w:p>
        </w:tc>
      </w:tr>
      <w:tr w:rsidR="00D73E89" w:rsidRPr="00D73E89" w14:paraId="1AFB3991"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11D6EBC"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20 лютого 2005</w:t>
            </w:r>
          </w:p>
        </w:tc>
        <w:tc>
          <w:tcPr>
            <w:tcW w:w="375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12E09B3"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17636460" wp14:editId="5B0E8746">
                  <wp:extent cx="268605" cy="179070"/>
                  <wp:effectExtent l="0" t="0" r="0" b="0"/>
                  <wp:docPr id="180" name="Рисунок 245" descr="Флаг Испании">
                    <a:hlinkClick xmlns:a="http://schemas.openxmlformats.org/drawingml/2006/main" r:id="rId12" tooltip="&quot;&quot;Флаг Испан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Флаг Испании">
                            <a:hlinkClick r:id="rId12" tooltip="&quot;&quot;Флаг Испании&quot; &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 cy="17907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proofErr w:type="spellStart"/>
            <w:r w:rsidRPr="00D73E89">
              <w:rPr>
                <w:rFonts w:ascii="Noto Serif" w:eastAsia="Times New Roman" w:hAnsi="Noto Serif" w:cs="Noto Serif"/>
                <w:kern w:val="0"/>
                <w:sz w:val="18"/>
                <w:szCs w:val="18"/>
                <w:lang w:eastAsia="uk-UA"/>
                <w14:ligatures w14:val="none"/>
              </w:rPr>
              <w:fldChar w:fldCharType="begin"/>
            </w:r>
            <w:r w:rsidRPr="00D73E89">
              <w:rPr>
                <w:rFonts w:ascii="Noto Serif" w:eastAsia="Times New Roman" w:hAnsi="Noto Serif" w:cs="Noto Serif"/>
                <w:kern w:val="0"/>
                <w:sz w:val="18"/>
                <w:szCs w:val="18"/>
                <w:lang w:eastAsia="uk-UA"/>
                <w14:ligatures w14:val="none"/>
              </w:rPr>
              <w:instrText>HYPERLINK "https://ru.wikipedia.org/wiki/%D0%98%D1%81%D0%BF%D0%B0%D0%BD%D0%B8%D1%8F" \o "Испания"</w:instrText>
            </w:r>
            <w:r w:rsidRPr="00D73E89">
              <w:rPr>
                <w:rFonts w:ascii="Noto Serif" w:eastAsia="Times New Roman" w:hAnsi="Noto Serif" w:cs="Noto Serif"/>
                <w:kern w:val="0"/>
                <w:sz w:val="18"/>
                <w:szCs w:val="18"/>
                <w:lang w:eastAsia="uk-UA"/>
                <w14:ligatures w14:val="none"/>
              </w:rPr>
            </w:r>
            <w:r w:rsidRPr="00D73E89">
              <w:rPr>
                <w:rFonts w:ascii="Noto Serif" w:eastAsia="Times New Roman" w:hAnsi="Noto Serif" w:cs="Noto Serif"/>
                <w:kern w:val="0"/>
                <w:sz w:val="18"/>
                <w:szCs w:val="18"/>
                <w:lang w:eastAsia="uk-UA"/>
                <w14:ligatures w14:val="none"/>
              </w:rPr>
              <w:fldChar w:fldCharType="separate"/>
            </w:r>
            <w:r w:rsidRPr="00D73E89">
              <w:rPr>
                <w:rFonts w:ascii="Noto Serif" w:eastAsia="Times New Roman" w:hAnsi="Noto Serif" w:cs="Noto Serif"/>
                <w:color w:val="0000FF"/>
                <w:kern w:val="0"/>
                <w:sz w:val="18"/>
                <w:szCs w:val="18"/>
                <w:u w:val="single"/>
                <w:lang w:eastAsia="uk-UA"/>
                <w14:ligatures w14:val="none"/>
              </w:rPr>
              <w:t>Испанія</w:t>
            </w:r>
            <w:proofErr w:type="spellEnd"/>
            <w:r w:rsidRPr="00D73E89">
              <w:rPr>
                <w:rFonts w:ascii="Noto Serif" w:eastAsia="Times New Roman" w:hAnsi="Noto Serif" w:cs="Noto Serif"/>
                <w:kern w:val="0"/>
                <w:sz w:val="18"/>
                <w:szCs w:val="18"/>
                <w:lang w:eastAsia="uk-UA"/>
                <w14:ligatures w14:val="none"/>
              </w:rPr>
              <w:fldChar w:fldCharType="end"/>
            </w:r>
          </w:p>
        </w:tc>
        <w:tc>
          <w:tcPr>
            <w:tcW w:w="387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E36E4FA"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проект прийнято</w:t>
            </w:r>
          </w:p>
        </w:tc>
      </w:tr>
      <w:tr w:rsidR="00D73E89" w:rsidRPr="00D73E89" w14:paraId="34A09407"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2DC3523"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29 травня 2005</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4EF41CD"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57685E72" wp14:editId="59FC2955">
                  <wp:extent cx="268605" cy="179070"/>
                  <wp:effectExtent l="0" t="0" r="0" b="0"/>
                  <wp:docPr id="181" name="Рисунок 244" descr="Флаг Франции">
                    <a:hlinkClick xmlns:a="http://schemas.openxmlformats.org/drawingml/2006/main" r:id="rId14" tooltip="&quot;&quot;Флаг Франц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Флаг Франции">
                            <a:hlinkClick r:id="rId14" tooltip="&quot;&quot;Флаг Франции&quot; &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 cy="17907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16" w:tooltip="Франция" w:history="1">
              <w:r w:rsidRPr="00D73E89">
                <w:rPr>
                  <w:rFonts w:ascii="Noto Serif" w:eastAsia="Times New Roman" w:hAnsi="Noto Serif" w:cs="Noto Serif"/>
                  <w:color w:val="0000FF"/>
                  <w:kern w:val="0"/>
                  <w:sz w:val="18"/>
                  <w:szCs w:val="18"/>
                  <w:u w:val="single"/>
                  <w:lang w:eastAsia="uk-UA"/>
                  <w14:ligatures w14:val="none"/>
                </w:rPr>
                <w:t>Франція</w:t>
              </w:r>
            </w:hyperlink>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9BC3741"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 xml:space="preserve">проект </w:t>
            </w:r>
            <w:proofErr w:type="spellStart"/>
            <w:r w:rsidRPr="00D73E89">
              <w:rPr>
                <w:rFonts w:ascii="Noto Serif" w:eastAsia="Times New Roman" w:hAnsi="Noto Serif" w:cs="Noto Serif"/>
                <w:kern w:val="0"/>
                <w:sz w:val="18"/>
                <w:szCs w:val="18"/>
                <w:lang w:eastAsia="uk-UA"/>
                <w14:ligatures w14:val="none"/>
              </w:rPr>
              <w:t>відхилено</w:t>
            </w:r>
            <w:proofErr w:type="spellEnd"/>
          </w:p>
        </w:tc>
      </w:tr>
      <w:tr w:rsidR="00D73E89" w:rsidRPr="00D73E89" w14:paraId="260A3627"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F5B9B1A"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1 червня 2005</w:t>
            </w:r>
          </w:p>
        </w:tc>
        <w:tc>
          <w:tcPr>
            <w:tcW w:w="375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859DDA8"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39CA8DA0" wp14:editId="2AA8149C">
                  <wp:extent cx="268605" cy="179070"/>
                  <wp:effectExtent l="0" t="0" r="0" b="0"/>
                  <wp:docPr id="182" name="Рисунок 243" descr="Флаг Нидерландов">
                    <a:hlinkClick xmlns:a="http://schemas.openxmlformats.org/drawingml/2006/main" r:id="rId17" tooltip="&quot;&quot;Флаг Нидерландов&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Флаг Нидерландов">
                            <a:hlinkClick r:id="rId17" tooltip="&quot;&quot;Флаг Нидерландов&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 cy="17907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19" w:tooltip="Нидерланды" w:history="1">
              <w:r w:rsidRPr="00D73E89">
                <w:rPr>
                  <w:rFonts w:ascii="Noto Serif" w:eastAsia="Times New Roman" w:hAnsi="Noto Serif" w:cs="Noto Serif"/>
                  <w:color w:val="0000FF"/>
                  <w:kern w:val="0"/>
                  <w:sz w:val="18"/>
                  <w:szCs w:val="18"/>
                  <w:u w:val="single"/>
                  <w:lang w:eastAsia="uk-UA"/>
                  <w14:ligatures w14:val="none"/>
                </w:rPr>
                <w:t>Нідерланд</w:t>
              </w:r>
            </w:hyperlink>
            <w:r w:rsidRPr="00D73E89">
              <w:rPr>
                <w:rFonts w:ascii="Noto Serif" w:eastAsia="Times New Roman" w:hAnsi="Noto Serif" w:cs="Noto Serif"/>
                <w:kern w:val="0"/>
                <w:sz w:val="18"/>
                <w:szCs w:val="18"/>
                <w:lang w:eastAsia="uk-UA"/>
                <w14:ligatures w14:val="none"/>
              </w:rPr>
              <w:t>и</w:t>
            </w:r>
          </w:p>
        </w:tc>
        <w:tc>
          <w:tcPr>
            <w:tcW w:w="387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A994C20"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 xml:space="preserve">проект </w:t>
            </w:r>
            <w:proofErr w:type="spellStart"/>
            <w:r w:rsidRPr="00D73E89">
              <w:rPr>
                <w:rFonts w:ascii="Noto Serif" w:eastAsia="Times New Roman" w:hAnsi="Noto Serif" w:cs="Noto Serif"/>
                <w:kern w:val="0"/>
                <w:sz w:val="18"/>
                <w:szCs w:val="18"/>
                <w:lang w:eastAsia="uk-UA"/>
                <w14:ligatures w14:val="none"/>
              </w:rPr>
              <w:t>відхилено</w:t>
            </w:r>
            <w:proofErr w:type="spellEnd"/>
          </w:p>
        </w:tc>
      </w:tr>
      <w:tr w:rsidR="00D73E89" w:rsidRPr="00D73E89" w14:paraId="789158DF"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0CC376E"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10 червня 2005</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57758D1"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0D2B6437" wp14:editId="54B046A7">
                  <wp:extent cx="268605" cy="158750"/>
                  <wp:effectExtent l="0" t="0" r="0" b="0"/>
                  <wp:docPr id="183" name="Рисунок 242" descr="Флаг Люксембурга">
                    <a:hlinkClick xmlns:a="http://schemas.openxmlformats.org/drawingml/2006/main" r:id="rId20" tooltip="&quot;&quot;Флаг Люксембург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Флаг Люксембурга">
                            <a:hlinkClick r:id="rId20" tooltip="&quot;&quot;Флаг Люксембурга&quot; &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 cy="15875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22" w:tooltip="Люксембург (государство)" w:history="1">
              <w:r w:rsidRPr="00D73E89">
                <w:rPr>
                  <w:rFonts w:ascii="Noto Serif" w:eastAsia="Times New Roman" w:hAnsi="Noto Serif" w:cs="Noto Serif"/>
                  <w:color w:val="0000FF"/>
                  <w:kern w:val="0"/>
                  <w:sz w:val="18"/>
                  <w:szCs w:val="18"/>
                  <w:u w:val="single"/>
                  <w:lang w:eastAsia="uk-UA"/>
                  <w14:ligatures w14:val="none"/>
                </w:rPr>
                <w:t>Люксембург</w:t>
              </w:r>
            </w:hyperlink>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E972C75"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проект прийнято</w:t>
            </w:r>
          </w:p>
        </w:tc>
      </w:tr>
      <w:tr w:rsidR="00D73E89" w:rsidRPr="00D73E89" w14:paraId="4D639C71"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B0B5114"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27 вересня 2005</w:t>
            </w:r>
          </w:p>
        </w:tc>
        <w:tc>
          <w:tcPr>
            <w:tcW w:w="375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C326605"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0993691C" wp14:editId="773414FC">
                  <wp:extent cx="268605" cy="198755"/>
                  <wp:effectExtent l="0" t="0" r="0" b="0"/>
                  <wp:docPr id="184" name="Рисунок 241" descr="Флаг Дании">
                    <a:hlinkClick xmlns:a="http://schemas.openxmlformats.org/drawingml/2006/main" r:id="rId23" tooltip="&quot;&quot;Флаг Дан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Флаг Дании">
                            <a:hlinkClick r:id="rId23" tooltip="&quot;&quot;Флаг Дании&quot; &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 cy="198755"/>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25" w:tooltip="Дания" w:history="1">
              <w:r w:rsidRPr="00D73E89">
                <w:rPr>
                  <w:rFonts w:ascii="Noto Serif" w:eastAsia="Times New Roman" w:hAnsi="Noto Serif" w:cs="Noto Serif"/>
                  <w:color w:val="0000FF"/>
                  <w:kern w:val="0"/>
                  <w:sz w:val="18"/>
                  <w:szCs w:val="18"/>
                  <w:u w:val="single"/>
                  <w:lang w:eastAsia="uk-UA"/>
                  <w14:ligatures w14:val="none"/>
                </w:rPr>
                <w:t>Данія</w:t>
              </w:r>
            </w:hyperlink>
          </w:p>
        </w:tc>
        <w:tc>
          <w:tcPr>
            <w:tcW w:w="387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480D477"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референдум скасовано</w:t>
            </w:r>
          </w:p>
        </w:tc>
      </w:tr>
      <w:tr w:rsidR="00D73E89" w:rsidRPr="00D73E89" w14:paraId="3547B875"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1757245"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грудень 2005</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1AD8508"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24160222" wp14:editId="7B5C8C1E">
                  <wp:extent cx="268605" cy="179070"/>
                  <wp:effectExtent l="0" t="0" r="0" b="0"/>
                  <wp:docPr id="185" name="Рисунок 240" descr="Флаг Португалии">
                    <a:hlinkClick xmlns:a="http://schemas.openxmlformats.org/drawingml/2006/main" r:id="rId26" tooltip="&quot;&quot;Флаг Португал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Флаг Португалии">
                            <a:hlinkClick r:id="rId26" tooltip="&quot;&quot;Флаг Португалии&quot; &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 cy="17907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28" w:tooltip="Португалия" w:history="1">
              <w:r w:rsidRPr="00D73E89">
                <w:rPr>
                  <w:rFonts w:ascii="Noto Serif" w:eastAsia="Times New Roman" w:hAnsi="Noto Serif" w:cs="Noto Serif"/>
                  <w:color w:val="0000FF"/>
                  <w:kern w:val="0"/>
                  <w:sz w:val="18"/>
                  <w:szCs w:val="18"/>
                  <w:u w:val="single"/>
                  <w:lang w:eastAsia="uk-UA"/>
                  <w14:ligatures w14:val="none"/>
                </w:rPr>
                <w:t>Португалія</w:t>
              </w:r>
            </w:hyperlink>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8D52DB8"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референдум скасовано</w:t>
            </w:r>
          </w:p>
        </w:tc>
      </w:tr>
      <w:tr w:rsidR="00D73E89" w:rsidRPr="00D73E89" w14:paraId="2597C70B"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B7C431D"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початок 2006</w:t>
            </w:r>
          </w:p>
        </w:tc>
        <w:tc>
          <w:tcPr>
            <w:tcW w:w="375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9276483"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28785CD3" wp14:editId="2C8DE34B">
                  <wp:extent cx="268605" cy="119380"/>
                  <wp:effectExtent l="0" t="0" r="0" b="0"/>
                  <wp:docPr id="186" name="Рисунок 239" descr="Флаг Великобритании">
                    <a:hlinkClick xmlns:a="http://schemas.openxmlformats.org/drawingml/2006/main" r:id="rId29" tooltip="&quot;&quot;Флаг Великобритан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Флаг Великобритании">
                            <a:hlinkClick r:id="rId29" tooltip="&quot;&quot;Флаг Великобритании&quot; &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 cy="11938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31" w:tooltip="Великобритания" w:history="1">
              <w:r w:rsidRPr="00D73E89">
                <w:rPr>
                  <w:rFonts w:ascii="Noto Serif" w:eastAsia="Times New Roman" w:hAnsi="Noto Serif" w:cs="Noto Serif"/>
                  <w:color w:val="0000FF"/>
                  <w:kern w:val="0"/>
                  <w:sz w:val="18"/>
                  <w:szCs w:val="18"/>
                  <w:u w:val="single"/>
                  <w:lang w:eastAsia="uk-UA"/>
                  <w14:ligatures w14:val="none"/>
                </w:rPr>
                <w:t>Великобританія</w:t>
              </w:r>
            </w:hyperlink>
          </w:p>
        </w:tc>
        <w:tc>
          <w:tcPr>
            <w:tcW w:w="387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747B92D"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kern w:val="0"/>
                <w:sz w:val="18"/>
                <w:szCs w:val="18"/>
                <w:lang w:eastAsia="uk-UA"/>
                <w14:ligatures w14:val="none"/>
              </w:rPr>
              <w:t>референдум скасовано</w:t>
            </w:r>
          </w:p>
        </w:tc>
      </w:tr>
      <w:tr w:rsidR="00D73E89" w:rsidRPr="00D73E89" w14:paraId="034C26A2"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ABBC6B7"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референдум скасовано</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0C32C87"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5A558983" wp14:editId="1E895B8E">
                  <wp:extent cx="268605" cy="179070"/>
                  <wp:effectExtent l="0" t="0" r="0" b="0"/>
                  <wp:docPr id="187" name="Рисунок 238" descr="Флаг Чехии">
                    <a:hlinkClick xmlns:a="http://schemas.openxmlformats.org/drawingml/2006/main" r:id="rId32" tooltip="&quot;&quot;Флаг Чех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Флаг Чехии">
                            <a:hlinkClick r:id="rId32" tooltip="&quot;&quot;Флаг Чехии&quot; &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 cy="17907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34" w:tooltip="Чехия" w:history="1">
              <w:r w:rsidRPr="00D73E89">
                <w:rPr>
                  <w:rFonts w:ascii="Noto Serif" w:eastAsia="Times New Roman" w:hAnsi="Noto Serif" w:cs="Noto Serif"/>
                  <w:color w:val="0000FF"/>
                  <w:kern w:val="0"/>
                  <w:sz w:val="18"/>
                  <w:szCs w:val="18"/>
                  <w:u w:val="single"/>
                  <w:lang w:eastAsia="uk-UA"/>
                  <w14:ligatures w14:val="none"/>
                </w:rPr>
                <w:t>Чехія</w:t>
              </w:r>
            </w:hyperlink>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A900CE8" w14:textId="77777777" w:rsidR="00D73E89" w:rsidRPr="00D73E89" w:rsidRDefault="00D73E89" w:rsidP="00D73E89">
            <w:pPr>
              <w:spacing w:after="0" w:line="240" w:lineRule="auto"/>
              <w:jc w:val="center"/>
              <w:rPr>
                <w:rFonts w:ascii="Noto Serif" w:eastAsia="Times New Roman" w:hAnsi="Noto Serif" w:cs="Noto Serif"/>
                <w:kern w:val="0"/>
                <w:sz w:val="20"/>
                <w:szCs w:val="20"/>
                <w:lang w:eastAsia="uk-UA"/>
                <w14:ligatures w14:val="none"/>
              </w:rPr>
            </w:pPr>
            <w:r w:rsidRPr="00D73E89">
              <w:rPr>
                <w:rFonts w:ascii="Noto Serif" w:eastAsia="Times New Roman" w:hAnsi="Noto Serif" w:cs="Noto Serif"/>
                <w:kern w:val="0"/>
                <w:sz w:val="20"/>
                <w:szCs w:val="20"/>
                <w:lang w:eastAsia="uk-UA"/>
                <w14:ligatures w14:val="none"/>
              </w:rPr>
              <w:t> </w:t>
            </w:r>
          </w:p>
        </w:tc>
      </w:tr>
      <w:tr w:rsidR="00D73E89" w:rsidRPr="00D73E89" w14:paraId="06507CB2"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B72BC31"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не визначена</w:t>
            </w:r>
          </w:p>
        </w:tc>
        <w:tc>
          <w:tcPr>
            <w:tcW w:w="375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BAA6525"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168A1ED2" wp14:editId="4BCD15A9">
                  <wp:extent cx="268605" cy="119380"/>
                  <wp:effectExtent l="0" t="0" r="0" b="0"/>
                  <wp:docPr id="188" name="Рисунок 237" descr="Флаг Ирландии">
                    <a:hlinkClick xmlns:a="http://schemas.openxmlformats.org/drawingml/2006/main" r:id="rId35" tooltip="&quot;&quot;Флаг Ирланди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Флаг Ирландии">
                            <a:hlinkClick r:id="rId35" tooltip="&quot;&quot;Флаг Ирландии&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 cy="11938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37" w:tooltip="Ирландия" w:history="1">
              <w:r w:rsidRPr="00D73E89">
                <w:rPr>
                  <w:rFonts w:ascii="Noto Serif" w:eastAsia="Times New Roman" w:hAnsi="Noto Serif" w:cs="Noto Serif"/>
                  <w:color w:val="0000FF"/>
                  <w:kern w:val="0"/>
                  <w:sz w:val="18"/>
                  <w:szCs w:val="18"/>
                  <w:u w:val="single"/>
                  <w:lang w:eastAsia="uk-UA"/>
                  <w14:ligatures w14:val="none"/>
                </w:rPr>
                <w:t>Ірландія</w:t>
              </w:r>
            </w:hyperlink>
          </w:p>
        </w:tc>
        <w:tc>
          <w:tcPr>
            <w:tcW w:w="387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2F6EF8A" w14:textId="77777777" w:rsidR="00D73E89" w:rsidRPr="00D73E89" w:rsidRDefault="00D73E89" w:rsidP="00D73E89">
            <w:pPr>
              <w:spacing w:after="0" w:line="240" w:lineRule="auto"/>
              <w:jc w:val="center"/>
              <w:rPr>
                <w:rFonts w:ascii="Noto Serif" w:eastAsia="Times New Roman" w:hAnsi="Noto Serif" w:cs="Noto Serif"/>
                <w:kern w:val="0"/>
                <w:sz w:val="20"/>
                <w:szCs w:val="20"/>
                <w:lang w:eastAsia="uk-UA"/>
                <w14:ligatures w14:val="none"/>
              </w:rPr>
            </w:pPr>
            <w:r w:rsidRPr="00D73E89">
              <w:rPr>
                <w:rFonts w:ascii="Noto Serif" w:eastAsia="Times New Roman" w:hAnsi="Noto Serif" w:cs="Noto Serif"/>
                <w:kern w:val="0"/>
                <w:sz w:val="20"/>
                <w:szCs w:val="20"/>
                <w:lang w:eastAsia="uk-UA"/>
                <w14:ligatures w14:val="none"/>
              </w:rPr>
              <w:t> </w:t>
            </w:r>
          </w:p>
        </w:tc>
      </w:tr>
      <w:tr w:rsidR="00D73E89" w:rsidRPr="00D73E89" w14:paraId="7A2FA73B" w14:textId="77777777" w:rsidTr="00D73E89">
        <w:trPr>
          <w:jc w:val="center"/>
        </w:trPr>
        <w:tc>
          <w:tcPr>
            <w:tcW w:w="402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8CC5A02"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b/>
                <w:bCs/>
                <w:kern w:val="0"/>
                <w:sz w:val="18"/>
                <w:szCs w:val="18"/>
                <w:lang w:eastAsia="uk-UA"/>
                <w14:ligatures w14:val="none"/>
              </w:rPr>
              <w:t>не визначена</w:t>
            </w:r>
          </w:p>
        </w:tc>
        <w:tc>
          <w:tcPr>
            <w:tcW w:w="375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2A5D20C" w14:textId="77777777" w:rsidR="00D73E89" w:rsidRPr="00D73E89" w:rsidRDefault="00D73E89" w:rsidP="00D73E89">
            <w:pPr>
              <w:spacing w:after="0" w:line="240" w:lineRule="auto"/>
              <w:ind w:firstLine="480"/>
              <w:jc w:val="both"/>
              <w:rPr>
                <w:rFonts w:ascii="Noto Serif" w:eastAsia="Times New Roman" w:hAnsi="Noto Serif" w:cs="Noto Serif"/>
                <w:kern w:val="0"/>
                <w:sz w:val="18"/>
                <w:szCs w:val="18"/>
                <w:lang w:eastAsia="uk-UA"/>
                <w14:ligatures w14:val="none"/>
              </w:rPr>
            </w:pPr>
            <w:r w:rsidRPr="00D73E89">
              <w:rPr>
                <w:rFonts w:ascii="Noto Serif" w:eastAsia="Times New Roman" w:hAnsi="Noto Serif" w:cs="Noto Serif"/>
                <w:noProof/>
                <w:color w:val="0000FF"/>
                <w:kern w:val="0"/>
                <w:sz w:val="18"/>
                <w:szCs w:val="18"/>
                <w:lang w:eastAsia="uk-UA"/>
                <w14:ligatures w14:val="none"/>
              </w:rPr>
              <w:drawing>
                <wp:inline distT="0" distB="0" distL="0" distR="0" wp14:anchorId="15C4D727" wp14:editId="3B7EB614">
                  <wp:extent cx="268605" cy="168910"/>
                  <wp:effectExtent l="0" t="0" r="0" b="2540"/>
                  <wp:docPr id="189" name="Рисунок 231" descr="Флаг Польши">
                    <a:hlinkClick xmlns:a="http://schemas.openxmlformats.org/drawingml/2006/main" r:id="rId38" tooltip="&quot;&quot;Флаг Польш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Флаг Польши">
                            <a:hlinkClick r:id="rId38" tooltip="&quot;&quot;Флаг Польши&quot; &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 cy="168910"/>
                          </a:xfrm>
                          <a:prstGeom prst="rect">
                            <a:avLst/>
                          </a:prstGeom>
                          <a:noFill/>
                          <a:ln>
                            <a:noFill/>
                          </a:ln>
                        </pic:spPr>
                      </pic:pic>
                    </a:graphicData>
                  </a:graphic>
                </wp:inline>
              </w:drawing>
            </w:r>
            <w:r w:rsidRPr="00D73E89">
              <w:rPr>
                <w:rFonts w:ascii="Noto Serif" w:eastAsia="Times New Roman" w:hAnsi="Noto Serif" w:cs="Noto Serif"/>
                <w:kern w:val="0"/>
                <w:sz w:val="18"/>
                <w:szCs w:val="18"/>
                <w:lang w:eastAsia="uk-UA"/>
                <w14:ligatures w14:val="none"/>
              </w:rPr>
              <w:t> </w:t>
            </w:r>
            <w:hyperlink r:id="rId40" w:tooltip="Польша" w:history="1">
              <w:r w:rsidRPr="00D73E89">
                <w:rPr>
                  <w:rFonts w:ascii="Noto Serif" w:eastAsia="Times New Roman" w:hAnsi="Noto Serif" w:cs="Noto Serif"/>
                  <w:color w:val="0000FF"/>
                  <w:kern w:val="0"/>
                  <w:sz w:val="18"/>
                  <w:szCs w:val="18"/>
                  <w:u w:val="single"/>
                  <w:lang w:eastAsia="uk-UA"/>
                  <w14:ligatures w14:val="none"/>
                </w:rPr>
                <w:t>Польща</w:t>
              </w:r>
            </w:hyperlink>
          </w:p>
        </w:tc>
        <w:tc>
          <w:tcPr>
            <w:tcW w:w="387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E77EF9A" w14:textId="77777777" w:rsidR="00D73E89" w:rsidRPr="00D73E89" w:rsidRDefault="00D73E89" w:rsidP="00D73E89">
            <w:pPr>
              <w:spacing w:after="0" w:line="240" w:lineRule="auto"/>
              <w:jc w:val="center"/>
              <w:rPr>
                <w:rFonts w:ascii="Noto Serif" w:eastAsia="Times New Roman" w:hAnsi="Noto Serif" w:cs="Noto Serif"/>
                <w:kern w:val="0"/>
                <w:sz w:val="20"/>
                <w:szCs w:val="20"/>
                <w:lang w:eastAsia="uk-UA"/>
                <w14:ligatures w14:val="none"/>
              </w:rPr>
            </w:pPr>
            <w:r w:rsidRPr="00D73E89">
              <w:rPr>
                <w:rFonts w:ascii="Noto Serif" w:eastAsia="Times New Roman" w:hAnsi="Noto Serif" w:cs="Noto Serif"/>
                <w:kern w:val="0"/>
                <w:sz w:val="20"/>
                <w:szCs w:val="20"/>
                <w:lang w:eastAsia="uk-UA"/>
                <w14:ligatures w14:val="none"/>
              </w:rPr>
              <w:t> </w:t>
            </w:r>
          </w:p>
        </w:tc>
      </w:tr>
    </w:tbl>
    <w:p w14:paraId="112F7CC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5D3430C"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Однак під час референдуму у Франції 29 травня 54,87% виборців проголосували «проти» Конституції для Європи, і 45,13% — «так» (за участю на виборах 69,74% громадян). На референдумі з ратифікації Конституції в Нідерландах склалася така ж ситуація, як і у Франції.</w:t>
      </w:r>
    </w:p>
    <w:p w14:paraId="74C01240"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1 червня під час референдуму 61,6% виборців висловилися «проти» Конституції для Європи і лише 38,4% — «за».</w:t>
      </w:r>
    </w:p>
    <w:p w14:paraId="07891ADD"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31D83C45"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АНАЛІЗ ГОЛОСУВАННЯ</w:t>
      </w:r>
      <w:r w:rsidRPr="00D73E89">
        <w:rPr>
          <w:rFonts w:ascii="Noto Serif" w:eastAsia="Times New Roman" w:hAnsi="Noto Serif" w:cs="Noto Serif"/>
          <w:color w:val="000000"/>
          <w:kern w:val="0"/>
          <w:lang w:eastAsia="uk-UA"/>
          <w14:ligatures w14:val="none"/>
        </w:rPr>
        <w:t xml:space="preserve"> у Франції та Нідерландах стосовно Конституції для Європи показав, що питання розширення ЄС не було серед головних причин відхилення документу. Так, лише </w:t>
      </w:r>
      <w:r w:rsidRPr="00D73E89">
        <w:rPr>
          <w:rFonts w:ascii="Noto Serif" w:eastAsia="Times New Roman" w:hAnsi="Noto Serif" w:cs="Noto Serif"/>
          <w:color w:val="000000"/>
          <w:kern w:val="0"/>
          <w:lang w:eastAsia="uk-UA"/>
          <w14:ligatures w14:val="none"/>
        </w:rPr>
        <w:lastRenderedPageBreak/>
        <w:t>6% респондентів, що проголосували негативно в Нідерландах, пов’язали свій вибір з майбутнім розширенням, і 3% — зі вступом Туреччини в ЄС. У Франції, навпаки, 6% опонентів Конституції для Європи пов’язали свій вибір зі вступом Туреччини, а 3% — із загальним процесом розширення. Головною ж причиною відхилення Конституції для Європи в Нідерландах став брак інформації (32%), загроза втрати національного суверенітету (19%) та опозиційне ставлення до національного уряду (14%). При цьому, 2/3 висловили впевненість, що повторна підготовка Конституції для Європи буде більше враховувати та захищати інтереси нідерландців.</w:t>
      </w:r>
    </w:p>
    <w:p w14:paraId="4F8CEE72"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У Франції головними причинами стали загроза, що Конституція для Європи матиме негативний вплив на рівень зайнятості (31%) та на економічну ситуацію у Франції (26%) через занадто ліберальний Договір. При цьому 62% респондентів висловилися за перегляд Конституції для Європи на більш соціально орієнтовану.</w:t>
      </w:r>
    </w:p>
    <w:p w14:paraId="6CA45AE9"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Отже,  внаслідок того, що референдуми про ратифікацію у Франції (травень 2005) і Нідерландах (червень 2005 року) дали негативний результат, </w:t>
      </w:r>
      <w:r w:rsidRPr="00D73E89">
        <w:rPr>
          <w:rFonts w:ascii="Noto Serif" w:eastAsia="Times New Roman" w:hAnsi="Noto Serif" w:cs="Noto Serif"/>
          <w:i/>
          <w:iCs/>
          <w:color w:val="000000"/>
          <w:kern w:val="0"/>
          <w:lang w:eastAsia="uk-UA"/>
          <w14:ligatures w14:val="none"/>
        </w:rPr>
        <w:t>доля Конституційного договору лишилася невизначеною</w:t>
      </w:r>
      <w:bookmarkStart w:id="2" w:name="_ftnref26"/>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"http://gazeta.dt.ua/POLITICS/konstitutsiya_dlya_obednanoyi_evropi_musit_zachekati.html." \o "Більше читайте тут:  Посельський В. Конституція для об’єднаної Європи мусить зачекати [Електронний ресурс] О. Посельський // Дзеркало тижня. — 2003. — 19 грудня. — Режим доступу : http://gazeta.dt.ua/POLITICS/konstitutsiya_dlya_obednanoyi_evropi_musit_zachekati.html. — Назва з екрана."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[26]</w:t>
      </w:r>
      <w:r w:rsidRPr="00D73E89">
        <w:rPr>
          <w:rFonts w:ascii="Noto Serif" w:eastAsia="Times New Roman" w:hAnsi="Noto Serif" w:cs="Noto Serif"/>
          <w:color w:val="000000"/>
          <w:kern w:val="0"/>
          <w:vertAlign w:val="superscript"/>
          <w:lang w:eastAsia="uk-UA"/>
          <w14:ligatures w14:val="none"/>
        </w:rPr>
        <w:fldChar w:fldCharType="end"/>
      </w:r>
      <w:r w:rsidRPr="00D73E89">
        <w:rPr>
          <w:rFonts w:ascii="Noto Serif" w:eastAsia="Times New Roman" w:hAnsi="Noto Serif" w:cs="Noto Serif"/>
          <w:color w:val="000000"/>
          <w:kern w:val="0"/>
          <w:lang w:eastAsia="uk-UA"/>
          <w14:ligatures w14:val="none"/>
        </w:rPr>
        <w:t>.</w:t>
      </w:r>
    </w:p>
    <w:p w14:paraId="78409221"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032F4FF"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АЛЬТЕРНАТИВОЮ ЄВРОПЕЙСЬКІЙ КОНСТИТУЦІЇ</w:t>
      </w:r>
      <w:r w:rsidRPr="00D73E89">
        <w:rPr>
          <w:rFonts w:ascii="Noto Serif" w:eastAsia="Times New Roman" w:hAnsi="Noto Serif" w:cs="Noto Serif"/>
          <w:color w:val="000000"/>
          <w:kern w:val="0"/>
          <w:lang w:eastAsia="uk-UA"/>
          <w14:ligatures w14:val="none"/>
        </w:rPr>
        <w:t> — стала </w:t>
      </w:r>
      <w:r w:rsidRPr="00D73E89">
        <w:rPr>
          <w:rFonts w:ascii="Noto Serif" w:eastAsia="Times New Roman" w:hAnsi="Noto Serif" w:cs="Noto Serif"/>
          <w:b/>
          <w:bCs/>
          <w:color w:val="000000"/>
          <w:kern w:val="0"/>
          <w:lang w:eastAsia="uk-UA"/>
          <w14:ligatures w14:val="none"/>
        </w:rPr>
        <w:t>ЛІСАБОНСЬКА УГОДА</w:t>
      </w:r>
      <w:hyperlink r:id="rId41" w:tooltip="Лиссабонский договор [Электронный ресурс]. — Режим доступа : https://ru.wikipedia.org/wiki/Лиссабонский_договор . — Название с экрана." w:history="1">
        <w:r w:rsidRPr="00D73E89">
          <w:rPr>
            <w:rFonts w:ascii="Noto Serif" w:eastAsia="Times New Roman" w:hAnsi="Noto Serif" w:cs="Noto Serif"/>
            <w:color w:val="0000FF"/>
            <w:kern w:val="0"/>
            <w:u w:val="single"/>
            <w:vertAlign w:val="superscript"/>
            <w:lang w:eastAsia="uk-UA"/>
            <w14:ligatures w14:val="none"/>
          </w:rPr>
          <w:t>[27]</w:t>
        </w:r>
      </w:hyperlink>
      <w:bookmarkEnd w:id="2"/>
      <w:r w:rsidRPr="00D73E89">
        <w:rPr>
          <w:rFonts w:ascii="Noto Serif" w:eastAsia="Times New Roman" w:hAnsi="Noto Serif" w:cs="Noto Serif"/>
          <w:color w:val="000000"/>
          <w:kern w:val="0"/>
          <w:lang w:eastAsia="uk-UA"/>
          <w14:ligatures w14:val="none"/>
        </w:rPr>
        <w:t>. Її офіційне підписання відбулося </w:t>
      </w:r>
      <w:r w:rsidRPr="00D73E89">
        <w:rPr>
          <w:rFonts w:ascii="Noto Serif" w:eastAsia="Times New Roman" w:hAnsi="Noto Serif" w:cs="Noto Serif"/>
          <w:b/>
          <w:bCs/>
          <w:color w:val="000000"/>
          <w:kern w:val="0"/>
          <w:lang w:eastAsia="uk-UA"/>
          <w14:ligatures w14:val="none"/>
        </w:rPr>
        <w:t>13 грудня 2007 року</w:t>
      </w:r>
      <w:r w:rsidRPr="00D73E89">
        <w:rPr>
          <w:rFonts w:ascii="Noto Serif" w:eastAsia="Times New Roman" w:hAnsi="Noto Serif" w:cs="Noto Serif"/>
          <w:color w:val="000000"/>
          <w:kern w:val="0"/>
          <w:lang w:eastAsia="uk-UA"/>
          <w14:ligatures w14:val="none"/>
        </w:rPr>
        <w:t xml:space="preserve">, після чого документ підлягав ратифікації національними парламентами 27 держав Євросоюзу. Станом на 13 листопада 2009 року Угоду затвердили всі 27 країн ЄС. Угода набрала чинності 1 грудня 2009 </w:t>
      </w:r>
      <w:proofErr w:type="spellStart"/>
      <w:r w:rsidRPr="00D73E89">
        <w:rPr>
          <w:rFonts w:ascii="Noto Serif" w:eastAsia="Times New Roman" w:hAnsi="Noto Serif" w:cs="Noto Serif"/>
          <w:color w:val="000000"/>
          <w:kern w:val="0"/>
          <w:lang w:eastAsia="uk-UA"/>
          <w14:ligatures w14:val="none"/>
        </w:rPr>
        <w:t>року.Європейська</w:t>
      </w:r>
      <w:proofErr w:type="spellEnd"/>
      <w:r w:rsidRPr="00D73E89">
        <w:rPr>
          <w:rFonts w:ascii="Noto Serif" w:eastAsia="Times New Roman" w:hAnsi="Noto Serif" w:cs="Noto Serif"/>
          <w:color w:val="000000"/>
          <w:kern w:val="0"/>
          <w:lang w:eastAsia="uk-UA"/>
          <w14:ligatures w14:val="none"/>
        </w:rPr>
        <w:t xml:space="preserve"> Конституція мала замінити усі попередні угоди, тоді як Лісабонський договір лише доповнює, уточнює та змінює установчі договори – Римський (1958 р.), Маастрихтський (1993 р.), Амстердамський (1997 р.) та Ніццький (2003 р.).</w:t>
      </w:r>
    </w:p>
    <w:p w14:paraId="1DEDC1F7"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 </w:t>
      </w:r>
    </w:p>
    <w:p w14:paraId="4536E6B7" w14:textId="77777777" w:rsidR="00D73E89" w:rsidRPr="00D73E89" w:rsidRDefault="00D73E89" w:rsidP="00D73E89">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D73E89">
        <w:rPr>
          <w:rFonts w:ascii="Noto Serif" w:eastAsia="Times New Roman" w:hAnsi="Noto Serif" w:cs="Noto Serif"/>
          <w:b/>
          <w:bCs/>
          <w:i/>
          <w:iCs/>
          <w:color w:val="000000"/>
          <w:kern w:val="0"/>
          <w:sz w:val="26"/>
          <w:szCs w:val="26"/>
          <w:lang w:eastAsia="uk-UA"/>
          <w14:ligatures w14:val="none"/>
        </w:rPr>
        <w:t>3.2  ПРАВО ЄВРОПЕЙСЬКОГО СОЮЗУ</w:t>
      </w:r>
    </w:p>
    <w:p w14:paraId="663DC6F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B07767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18592AB9"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ПРАВО ЄВРОПЕЙСЬКОГО СОЮЗУ</w:t>
      </w:r>
      <w:r w:rsidRPr="00D73E89">
        <w:rPr>
          <w:rFonts w:ascii="Noto Serif" w:eastAsia="Times New Roman" w:hAnsi="Noto Serif" w:cs="Noto Serif"/>
          <w:color w:val="000000"/>
          <w:kern w:val="0"/>
          <w:lang w:eastAsia="uk-UA"/>
          <w14:ligatures w14:val="none"/>
        </w:rPr>
        <w:t xml:space="preserve"> (EU </w:t>
      </w:r>
      <w:proofErr w:type="spellStart"/>
      <w:r w:rsidRPr="00D73E89">
        <w:rPr>
          <w:rFonts w:ascii="Noto Serif" w:eastAsia="Times New Roman" w:hAnsi="Noto Serif" w:cs="Noto Serif"/>
          <w:color w:val="000000"/>
          <w:kern w:val="0"/>
          <w:lang w:eastAsia="uk-UA"/>
          <w14:ligatures w14:val="none"/>
        </w:rPr>
        <w:t>law</w:t>
      </w:r>
      <w:proofErr w:type="spellEnd"/>
      <w:r w:rsidRPr="00D73E89">
        <w:rPr>
          <w:rFonts w:ascii="Noto Serif" w:eastAsia="Times New Roman" w:hAnsi="Noto Serif" w:cs="Noto Serif"/>
          <w:color w:val="000000"/>
          <w:kern w:val="0"/>
          <w:lang w:eastAsia="uk-UA"/>
          <w14:ligatures w14:val="none"/>
        </w:rPr>
        <w:t xml:space="preserve">; </w:t>
      </w:r>
      <w:proofErr w:type="spellStart"/>
      <w:r w:rsidRPr="00D73E89">
        <w:rPr>
          <w:rFonts w:ascii="Noto Serif" w:eastAsia="Times New Roman" w:hAnsi="Noto Serif" w:cs="Noto Serif"/>
          <w:color w:val="000000"/>
          <w:kern w:val="0"/>
          <w:lang w:eastAsia="uk-UA"/>
          <w14:ligatures w14:val="none"/>
        </w:rPr>
        <w:t>European</w:t>
      </w:r>
      <w:proofErr w:type="spellEnd"/>
      <w:r w:rsidRPr="00D73E89">
        <w:rPr>
          <w:rFonts w:ascii="Noto Serif" w:eastAsia="Times New Roman" w:hAnsi="Noto Serif" w:cs="Noto Serif"/>
          <w:color w:val="000000"/>
          <w:kern w:val="0"/>
          <w:lang w:eastAsia="uk-UA"/>
          <w14:ligatures w14:val="none"/>
        </w:rPr>
        <w:t xml:space="preserve"> </w:t>
      </w:r>
      <w:proofErr w:type="spellStart"/>
      <w:r w:rsidRPr="00D73E89">
        <w:rPr>
          <w:rFonts w:ascii="Noto Serif" w:eastAsia="Times New Roman" w:hAnsi="Noto Serif" w:cs="Noto Serif"/>
          <w:color w:val="000000"/>
          <w:kern w:val="0"/>
          <w:lang w:eastAsia="uk-UA"/>
          <w14:ligatures w14:val="none"/>
        </w:rPr>
        <w:t>Union</w:t>
      </w:r>
      <w:proofErr w:type="spellEnd"/>
      <w:r w:rsidRPr="00D73E89">
        <w:rPr>
          <w:rFonts w:ascii="Noto Serif" w:eastAsia="Times New Roman" w:hAnsi="Noto Serif" w:cs="Noto Serif"/>
          <w:color w:val="000000"/>
          <w:kern w:val="0"/>
          <w:lang w:eastAsia="uk-UA"/>
          <w14:ligatures w14:val="none"/>
        </w:rPr>
        <w:t xml:space="preserve"> </w:t>
      </w:r>
      <w:proofErr w:type="spellStart"/>
      <w:r w:rsidRPr="00D73E89">
        <w:rPr>
          <w:rFonts w:ascii="Noto Serif" w:eastAsia="Times New Roman" w:hAnsi="Noto Serif" w:cs="Noto Serif"/>
          <w:color w:val="000000"/>
          <w:kern w:val="0"/>
          <w:lang w:eastAsia="uk-UA"/>
          <w14:ligatures w14:val="none"/>
        </w:rPr>
        <w:t>law</w:t>
      </w:r>
      <w:proofErr w:type="spellEnd"/>
      <w:r w:rsidRPr="00D73E89">
        <w:rPr>
          <w:rFonts w:ascii="Noto Serif" w:eastAsia="Times New Roman" w:hAnsi="Noto Serif" w:cs="Noto Serif"/>
          <w:color w:val="000000"/>
          <w:kern w:val="0"/>
          <w:lang w:eastAsia="uk-UA"/>
          <w14:ligatures w14:val="none"/>
        </w:rPr>
        <w:t>) — специфічний правопорядок, правова система, яка склалася на межі міжнародного права і внутрідержавного права держав-членів Європейського Союзу, володіє самостійними джерелами і принципами</w:t>
      </w:r>
      <w:bookmarkStart w:id="3" w:name="_ftnref27"/>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"http://pidruchniki.com/1584072048487/pravo/pravo_yevropeyskogo_soyuzu" \o "Конкретніше тут : Поняття права Європейського Союзу та його правова природа // Право Європейського Союзу  [Електронний ресурс] : підручник / В. І. Муравйов. – К. : Юрінком Інтер, 2011. — 704 с. — Режим доступу : http://pidruchniki.com/1584072048487/pravo/pravo_yevropeyskogo_soyuzu . — Назва з екрана."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[28]</w:t>
      </w:r>
      <w:r w:rsidRPr="00D73E89">
        <w:rPr>
          <w:rFonts w:ascii="Noto Serif" w:eastAsia="Times New Roman" w:hAnsi="Noto Serif" w:cs="Noto Serif"/>
          <w:color w:val="000000"/>
          <w:kern w:val="0"/>
          <w:vertAlign w:val="superscript"/>
          <w:lang w:eastAsia="uk-UA"/>
          <w14:ligatures w14:val="none"/>
        </w:rPr>
        <w:fldChar w:fldCharType="end"/>
      </w:r>
      <w:bookmarkEnd w:id="3"/>
      <w:r w:rsidRPr="00D73E89">
        <w:rPr>
          <w:rFonts w:ascii="Noto Serif" w:eastAsia="Times New Roman" w:hAnsi="Noto Serif" w:cs="Noto Serif"/>
          <w:color w:val="000000"/>
          <w:kern w:val="0"/>
          <w:lang w:eastAsia="uk-UA"/>
          <w14:ligatures w14:val="none"/>
        </w:rPr>
        <w:t>.</w:t>
      </w:r>
    </w:p>
    <w:p w14:paraId="2FC8AD2F"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40A8C3D5"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071BFEFA" wp14:editId="58116AE6">
            <wp:extent cx="6033135" cy="1689735"/>
            <wp:effectExtent l="0" t="0" r="5715" b="5715"/>
            <wp:docPr id="190" name="Рисунок 122" descr="Правильный пятиугольник: ПРИНЦИПИ ПРАВА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Правильный пятиугольник: ПРИНЦИПИ ПРАВА Є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3135" cy="1689735"/>
                    </a:xfrm>
                    <a:prstGeom prst="rect">
                      <a:avLst/>
                    </a:prstGeom>
                    <a:noFill/>
                    <a:ln>
                      <a:noFill/>
                    </a:ln>
                  </pic:spPr>
                </pic:pic>
              </a:graphicData>
            </a:graphic>
          </wp:inline>
        </w:drawing>
      </w:r>
    </w:p>
    <w:p w14:paraId="256DA177"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lastRenderedPageBreak/>
        <w:drawing>
          <wp:inline distT="0" distB="0" distL="0" distR="0" wp14:anchorId="2F3EEE98" wp14:editId="1C540C6C">
            <wp:extent cx="5715000" cy="5208270"/>
            <wp:effectExtent l="0" t="0" r="0" b="0"/>
            <wp:docPr id="191" name="Рисунок 121" descr="Правильный пятиугольник: ПРИНЦИПИ ПРАВА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авильный пятиугольник: ПРИНЦИПИ ПРАВА Є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5208270"/>
                    </a:xfrm>
                    <a:prstGeom prst="rect">
                      <a:avLst/>
                    </a:prstGeom>
                    <a:noFill/>
                    <a:ln>
                      <a:noFill/>
                    </a:ln>
                  </pic:spPr>
                </pic:pic>
              </a:graphicData>
            </a:graphic>
          </wp:inline>
        </w:drawing>
      </w:r>
    </w:p>
    <w:p w14:paraId="79D818F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2428130"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Рис. 3.2  Основні принципи права ЄС</w:t>
      </w:r>
      <w:bookmarkStart w:id="4" w:name="_ftnref28"/>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"http://lektsii.org/1-17544.html" \o "Більш детально: Система принципів права ЄС та їх класифікація [Електронний ресурс]. Режим доступу : http://lektsii.org/1-17544.html . — Назва з екрана. "</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[29]</w:t>
      </w:r>
      <w:r w:rsidRPr="00D73E89">
        <w:rPr>
          <w:rFonts w:ascii="Noto Serif" w:eastAsia="Times New Roman" w:hAnsi="Noto Serif" w:cs="Noto Serif"/>
          <w:color w:val="000000"/>
          <w:kern w:val="0"/>
          <w:vertAlign w:val="superscript"/>
          <w:lang w:eastAsia="uk-UA"/>
          <w14:ligatures w14:val="none"/>
        </w:rPr>
        <w:fldChar w:fldCharType="end"/>
      </w:r>
      <w:bookmarkEnd w:id="4"/>
    </w:p>
    <w:p w14:paraId="7C62F6F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BA92430"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СТРУКТУРА ПРАВА — </w:t>
      </w:r>
      <w:r w:rsidRPr="00D73E89">
        <w:rPr>
          <w:rFonts w:ascii="Noto Serif" w:eastAsia="Times New Roman" w:hAnsi="Noto Serif" w:cs="Noto Serif"/>
          <w:color w:val="000000"/>
          <w:kern w:val="0"/>
          <w:lang w:eastAsia="uk-UA"/>
          <w14:ligatures w14:val="none"/>
        </w:rPr>
        <w:t>право Євросоюзу поділяється на первинне та вторинне.</w:t>
      </w:r>
    </w:p>
    <w:p w14:paraId="22DE4A23"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44CEEE91"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5F6D3E7C" wp14:editId="7D02FE2C">
            <wp:extent cx="188595" cy="188595"/>
            <wp:effectExtent l="0" t="0" r="1905" b="1905"/>
            <wp:docPr id="192"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w:t>
      </w:r>
      <w:r w:rsidRPr="00D73E89">
        <w:rPr>
          <w:rFonts w:ascii="Noto Serif" w:eastAsia="Times New Roman" w:hAnsi="Noto Serif" w:cs="Noto Serif"/>
          <w:b/>
          <w:bCs/>
          <w:i/>
          <w:iCs/>
          <w:color w:val="0000FF"/>
          <w:kern w:val="0"/>
          <w:u w:val="single"/>
          <w:lang w:eastAsia="uk-UA"/>
          <w14:ligatures w14:val="none"/>
        </w:rPr>
        <w:t>ДО ПЕРВИННОГО ПРАВА ЄС</w:t>
      </w:r>
      <w:r w:rsidRPr="00D73E89">
        <w:rPr>
          <w:rFonts w:ascii="Noto Serif" w:eastAsia="Times New Roman" w:hAnsi="Noto Serif" w:cs="Noto Serif"/>
          <w:color w:val="000000"/>
          <w:kern w:val="0"/>
          <w:lang w:eastAsia="uk-UA"/>
          <w14:ligatures w14:val="none"/>
        </w:rPr>
        <w:t> належать норми міжнародних договорів, які становлять правову основу для функціонування всіх складових елементів, що формують Євросоюз. Первинне право ЄС створює правові засади для ухвалення законодавчих та інших правових актів Союзу.</w:t>
      </w:r>
    </w:p>
    <w:p w14:paraId="51A2FFF3"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76DDEA19" wp14:editId="3A6AB4B2">
            <wp:extent cx="188595" cy="188595"/>
            <wp:effectExtent l="0" t="0" r="1905" b="1905"/>
            <wp:docPr id="193"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w:t>
      </w:r>
      <w:r w:rsidRPr="00D73E89">
        <w:rPr>
          <w:rFonts w:ascii="Noto Serif" w:eastAsia="Times New Roman" w:hAnsi="Noto Serif" w:cs="Noto Serif"/>
          <w:b/>
          <w:bCs/>
          <w:i/>
          <w:iCs/>
          <w:color w:val="0000FF"/>
          <w:kern w:val="0"/>
          <w:u w:val="single"/>
          <w:lang w:eastAsia="uk-UA"/>
          <w14:ligatures w14:val="none"/>
        </w:rPr>
        <w:t>ВТОРИННЕ ПРАВО ЄС</w:t>
      </w:r>
      <w:r w:rsidRPr="00D73E89">
        <w:rPr>
          <w:rFonts w:ascii="Noto Serif" w:eastAsia="Times New Roman" w:hAnsi="Noto Serif" w:cs="Noto Serif"/>
          <w:color w:val="000000"/>
          <w:kern w:val="0"/>
          <w:lang w:eastAsia="uk-UA"/>
          <w14:ligatures w14:val="none"/>
        </w:rPr>
        <w:t> являє собою більш складну підсистему норм. До нього відносять норми, які закріплені в актах органів Союзу, а також у міжнародних угодах, що уклали між собою європейські співтовариства та інші суб'єкти міжнародного права. Вторинне право не повинно суперечити первинному, яке є основою правопорядку ЄС.</w:t>
      </w:r>
    </w:p>
    <w:p w14:paraId="7541EDD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D4EEFED"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МЕТОДИ ПРАВА ЄС</w:t>
      </w:r>
      <w:r w:rsidRPr="00D73E89">
        <w:rPr>
          <w:rFonts w:ascii="Noto Serif" w:eastAsia="Times New Roman" w:hAnsi="Noto Serif" w:cs="Noto Serif"/>
          <w:color w:val="000000"/>
          <w:kern w:val="0"/>
          <w:lang w:eastAsia="uk-UA"/>
          <w14:ligatures w14:val="none"/>
        </w:rPr>
        <w:t>  — ті ж, які регулюють суспільні відносини, характерні для сучасних держав: </w:t>
      </w:r>
      <w:r w:rsidRPr="00D73E89">
        <w:rPr>
          <w:rFonts w:ascii="Noto Serif" w:eastAsia="Times New Roman" w:hAnsi="Noto Serif" w:cs="Noto Serif"/>
          <w:b/>
          <w:bCs/>
          <w:color w:val="0000FF"/>
          <w:kern w:val="0"/>
          <w:lang w:eastAsia="uk-UA"/>
          <w14:ligatures w14:val="none"/>
        </w:rPr>
        <w:t>ПОЗИТИВНОГО ЗОБОВ'ЯЗУВАННЯ І ЗАБОРОНИ; ІМПЕРАТИВНИЙ І ДИСПОЗИТИВНИЙ, КОЛІЗІЙНИЙ</w:t>
      </w:r>
      <w:r w:rsidRPr="00D73E89">
        <w:rPr>
          <w:rFonts w:ascii="Noto Serif" w:eastAsia="Times New Roman" w:hAnsi="Noto Serif" w:cs="Noto Serif"/>
          <w:color w:val="000000"/>
          <w:kern w:val="0"/>
          <w:lang w:eastAsia="uk-UA"/>
          <w14:ligatures w14:val="none"/>
        </w:rPr>
        <w:t>. У праві ЄС спочатку досягається координація, узгодженість позицій, а потім здійснюється підпорядкування та реалізація узгоджених раніше домовленостей. Тому головним слід вважати метод </w:t>
      </w:r>
      <w:r w:rsidRPr="00D73E89">
        <w:rPr>
          <w:rFonts w:ascii="Noto Serif" w:eastAsia="Times New Roman" w:hAnsi="Noto Serif" w:cs="Noto Serif"/>
          <w:b/>
          <w:bCs/>
          <w:color w:val="000000"/>
          <w:kern w:val="0"/>
          <w:lang w:eastAsia="uk-UA"/>
          <w14:ligatures w14:val="none"/>
        </w:rPr>
        <w:t>«</w:t>
      </w:r>
      <w:r w:rsidRPr="00D73E89">
        <w:rPr>
          <w:rFonts w:ascii="Noto Serif" w:eastAsia="Times New Roman" w:hAnsi="Noto Serif" w:cs="Noto Serif"/>
          <w:b/>
          <w:bCs/>
          <w:color w:val="0000FF"/>
          <w:kern w:val="0"/>
          <w:lang w:eastAsia="uk-UA"/>
          <w14:ligatures w14:val="none"/>
        </w:rPr>
        <w:t>СКООРДИНОВАНОЇ СУБОРДИНАЦІЇ</w:t>
      </w:r>
      <w:r w:rsidRPr="00D73E89">
        <w:rPr>
          <w:rFonts w:ascii="Noto Serif" w:eastAsia="Times New Roman" w:hAnsi="Noto Serif" w:cs="Noto Serif"/>
          <w:b/>
          <w:bCs/>
          <w:color w:val="000000"/>
          <w:kern w:val="0"/>
          <w:lang w:eastAsia="uk-UA"/>
          <w14:ligatures w14:val="none"/>
        </w:rPr>
        <w:t>», </w:t>
      </w:r>
      <w:r w:rsidRPr="00D73E89">
        <w:rPr>
          <w:rFonts w:ascii="Noto Serif" w:eastAsia="Times New Roman" w:hAnsi="Noto Serif" w:cs="Noto Serif"/>
          <w:color w:val="000000"/>
          <w:kern w:val="0"/>
          <w:lang w:eastAsia="uk-UA"/>
          <w14:ligatures w14:val="none"/>
        </w:rPr>
        <w:t>сутність якого полягає в правовій інтеграції, що здійснюється між державами-членами за допомогою застосування  гармонізації (зближення) та уніфікації (приведення до однаковості) національних правових норм.</w:t>
      </w:r>
    </w:p>
    <w:p w14:paraId="5857639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2B946183"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lastRenderedPageBreak/>
        <w:t>РИСИ ПРАВА ЄС</w:t>
      </w:r>
      <w:r w:rsidRPr="00D73E89">
        <w:rPr>
          <w:rFonts w:ascii="Noto Serif" w:eastAsia="Times New Roman" w:hAnsi="Noto Serif" w:cs="Noto Serif"/>
          <w:color w:val="000000"/>
          <w:kern w:val="0"/>
          <w:lang w:eastAsia="uk-UA"/>
          <w14:ligatures w14:val="none"/>
        </w:rPr>
        <w:t> — до найважливіших належать </w:t>
      </w:r>
      <w:r w:rsidRPr="00D73E89">
        <w:rPr>
          <w:rFonts w:ascii="Noto Serif" w:eastAsia="Times New Roman" w:hAnsi="Noto Serif" w:cs="Noto Serif"/>
          <w:b/>
          <w:bCs/>
          <w:color w:val="0000FF"/>
          <w:kern w:val="0"/>
          <w:lang w:eastAsia="uk-UA"/>
          <w14:ligatures w14:val="none"/>
        </w:rPr>
        <w:t>КУЛЬТУРАЛІЗМ, ПЛЮРАЛІЗМ, РАЦІОНАЛІЗМ, ДИНАМІЗМ, ІНТЕГРАЛІЗМ, ПРОФЕСІОНАЛІЗМ, ІНСТРУМЕНТАЛІЗМ, ЛЕГАЛІЗМ, ЄВРОПЕЇЗМ. </w:t>
      </w:r>
      <w:r w:rsidRPr="00D73E89">
        <w:rPr>
          <w:rFonts w:ascii="Noto Serif" w:eastAsia="Times New Roman" w:hAnsi="Noto Serif" w:cs="Noto Serif"/>
          <w:color w:val="000000"/>
          <w:kern w:val="0"/>
          <w:lang w:eastAsia="uk-UA"/>
          <w14:ligatures w14:val="none"/>
        </w:rPr>
        <w:t>Європейський Союз поєднує риси як типової міжнародної організації, так і федерації.</w:t>
      </w:r>
    </w:p>
    <w:p w14:paraId="766DA744"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Право ЄС також є поєднанням рис національних правових систем держав-учасниць з рисами міжнародного права. Найбільший вплив на формування права ЄС, з-поміж національних систем, мають риси </w:t>
      </w:r>
      <w:r w:rsidRPr="00D73E89">
        <w:rPr>
          <w:rFonts w:ascii="Noto Serif" w:eastAsia="Times New Roman" w:hAnsi="Noto Serif" w:cs="Noto Serif"/>
          <w:i/>
          <w:iCs/>
          <w:color w:val="000000"/>
          <w:kern w:val="0"/>
          <w:lang w:eastAsia="uk-UA"/>
          <w14:ligatures w14:val="none"/>
        </w:rPr>
        <w:t>французького права</w:t>
      </w:r>
      <w:r w:rsidRPr="00D73E89">
        <w:rPr>
          <w:rFonts w:ascii="Noto Serif" w:eastAsia="Times New Roman" w:hAnsi="Noto Serif" w:cs="Noto Serif"/>
          <w:color w:val="000000"/>
          <w:kern w:val="0"/>
          <w:lang w:eastAsia="uk-UA"/>
          <w14:ligatures w14:val="none"/>
        </w:rPr>
        <w:t> (насамперед адміністративного, значною мірою також судового права) і </w:t>
      </w:r>
      <w:r w:rsidRPr="00D73E89">
        <w:rPr>
          <w:rFonts w:ascii="Noto Serif" w:eastAsia="Times New Roman" w:hAnsi="Noto Serif" w:cs="Noto Serif"/>
          <w:i/>
          <w:iCs/>
          <w:color w:val="000000"/>
          <w:kern w:val="0"/>
          <w:lang w:eastAsia="uk-UA"/>
          <w14:ligatures w14:val="none"/>
        </w:rPr>
        <w:t>німецького права</w:t>
      </w:r>
      <w:r w:rsidRPr="00D73E89">
        <w:rPr>
          <w:rFonts w:ascii="Noto Serif" w:eastAsia="Times New Roman" w:hAnsi="Noto Serif" w:cs="Noto Serif"/>
          <w:color w:val="000000"/>
          <w:kern w:val="0"/>
          <w:lang w:eastAsia="uk-UA"/>
          <w14:ligatures w14:val="none"/>
        </w:rPr>
        <w:t> (цивільного, господарського та торгового).</w:t>
      </w:r>
    </w:p>
    <w:p w14:paraId="67B6E33F"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E38D85A"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СУБ’ЄКТИ ПРАВА ЄС</w:t>
      </w:r>
      <w:r w:rsidRPr="00D73E89">
        <w:rPr>
          <w:rFonts w:ascii="Noto Serif" w:eastAsia="Times New Roman" w:hAnsi="Noto Serif" w:cs="Noto Serif"/>
          <w:color w:val="000000"/>
          <w:kern w:val="0"/>
          <w:lang w:eastAsia="uk-UA"/>
          <w14:ligatures w14:val="none"/>
        </w:rPr>
        <w:t> —  </w:t>
      </w:r>
      <w:r w:rsidRPr="00D73E89">
        <w:rPr>
          <w:rFonts w:ascii="Noto Serif" w:eastAsia="Times New Roman" w:hAnsi="Noto Serif" w:cs="Noto Serif"/>
          <w:b/>
          <w:bCs/>
          <w:color w:val="0000FF"/>
          <w:kern w:val="0"/>
          <w:lang w:eastAsia="uk-UA"/>
          <w14:ligatures w14:val="none"/>
        </w:rPr>
        <w:t>УЧАСНИКИ ІНТЕГРАЦІЙНИХ ВІДНОСИН, ЯКІ Є НОСІЯМИ ПРАВ І ОБОВ'ЯЗКІВ.</w:t>
      </w:r>
      <w:r w:rsidRPr="00D73E89">
        <w:rPr>
          <w:rFonts w:ascii="Noto Serif" w:eastAsia="Times New Roman" w:hAnsi="Noto Serif" w:cs="Noto Serif"/>
          <w:color w:val="000000"/>
          <w:kern w:val="0"/>
          <w:lang w:eastAsia="uk-UA"/>
          <w14:ligatures w14:val="none"/>
        </w:rPr>
        <w:t> Їх діяльність підпорядковується правопорядку Євросоюзу. В інтеграційних відносинах, які регулюються правом Євросоюзу, суб'єкти цього права беруть участь або безпосередньо (фізичні та юридичні особи), або через уповноважені ними органи (держави-члени та ЄС).</w:t>
      </w:r>
    </w:p>
    <w:p w14:paraId="15D0E730"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0A41E4E6"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ДЖЕРЕЛА ПРАВА ЄВРОСОЮЗУ</w:t>
      </w:r>
      <w:r w:rsidRPr="00D73E89">
        <w:rPr>
          <w:rFonts w:ascii="Noto Serif" w:eastAsia="Times New Roman" w:hAnsi="Noto Serif" w:cs="Noto Serif"/>
          <w:color w:val="000000"/>
          <w:kern w:val="0"/>
          <w:lang w:eastAsia="uk-UA"/>
          <w14:ligatures w14:val="none"/>
        </w:rPr>
        <w:t> — форми фіксації норм, що регулюють відносини інтеграції в межах ЄС:</w:t>
      </w:r>
    </w:p>
    <w:p w14:paraId="1CF6F179"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489A5EFC"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2AA2F4FF" wp14:editId="273AF466">
            <wp:extent cx="6718642" cy="5536096"/>
            <wp:effectExtent l="0" t="0" r="6350" b="7620"/>
            <wp:docPr id="19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26263" cy="5542376"/>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w:t>
      </w:r>
    </w:p>
    <w:p w14:paraId="653AD3F1"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1CE1C20F"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Рис. 3.3 Джерела права Європейського Союзу</w:t>
      </w:r>
      <w:r w:rsidRPr="00D73E89">
        <w:rPr>
          <w:rFonts w:ascii="Noto Serif" w:eastAsia="Times New Roman" w:hAnsi="Noto Serif" w:cs="Noto Serif"/>
          <w:color w:val="000000"/>
          <w:kern w:val="0"/>
          <w:vertAlign w:val="superscript"/>
          <w:lang w:eastAsia="uk-UA"/>
          <w14:ligatures w14:val="none"/>
        </w:rPr>
        <w:t>[29-1]</w:t>
      </w:r>
    </w:p>
    <w:p w14:paraId="1BDE7672"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i/>
          <w:iCs/>
          <w:color w:val="000000"/>
          <w:kern w:val="0"/>
          <w:lang w:eastAsia="uk-UA"/>
          <w14:ligatures w14:val="none"/>
        </w:rPr>
        <w:lastRenderedPageBreak/>
        <w:t> </w:t>
      </w:r>
    </w:p>
    <w:p w14:paraId="4072A158"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i/>
          <w:iCs/>
          <w:color w:val="000000"/>
          <w:kern w:val="0"/>
          <w:lang w:eastAsia="uk-UA"/>
          <w14:ligatures w14:val="none"/>
        </w:rPr>
        <w:t> </w:t>
      </w:r>
    </w:p>
    <w:p w14:paraId="08A49413" w14:textId="77777777" w:rsidR="00D73E89" w:rsidRPr="00D73E89" w:rsidRDefault="00D73E89" w:rsidP="00D73E89">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D73E89">
        <w:rPr>
          <w:rFonts w:ascii="Noto Serif" w:eastAsia="Times New Roman" w:hAnsi="Noto Serif" w:cs="Noto Serif"/>
          <w:b/>
          <w:bCs/>
          <w:i/>
          <w:iCs/>
          <w:color w:val="000000"/>
          <w:kern w:val="0"/>
          <w:sz w:val="26"/>
          <w:szCs w:val="26"/>
          <w:lang w:eastAsia="uk-UA"/>
          <w14:ligatures w14:val="none"/>
        </w:rPr>
        <w:t>3.3  ЗАХИСТ ПРАВ ЛЮДИНИ В ЄВРОПЕЙСЬКОМУ СОЮЗІ</w:t>
      </w:r>
    </w:p>
    <w:p w14:paraId="2CD14DF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 </w:t>
      </w:r>
    </w:p>
    <w:p w14:paraId="74A96F0C"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ЗАХИСТ ПРАВ ЛЮДИНИ І ОСНОВНИХ СВОБОД — </w:t>
      </w:r>
      <w:r w:rsidRPr="00D73E89">
        <w:rPr>
          <w:rFonts w:ascii="Noto Serif" w:eastAsia="Times New Roman" w:hAnsi="Noto Serif" w:cs="Noto Serif"/>
          <w:color w:val="000000"/>
          <w:kern w:val="0"/>
          <w:lang w:eastAsia="uk-UA"/>
          <w14:ligatures w14:val="none"/>
        </w:rPr>
        <w:t>які визнаються Європейською конвенцією про захист прав людини і основних свобод 1950 р.</w:t>
      </w:r>
      <w:bookmarkStart w:id="5" w:name="_ftnref30"/>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"http://zakon0.rada.gov.ua/laws/show/995_004" \o "КОНВЕНЦІЯ  про захист прав людини і основоположних свобод : Міжнародний документ від 04.11.1950 [Електронний ресурс]. — Режим доступу : http://zakon0.rada.gov.ua/laws/show/995_004 . — Назва з екрану."</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[30]</w:t>
      </w:r>
      <w:r w:rsidRPr="00D73E89">
        <w:rPr>
          <w:rFonts w:ascii="Noto Serif" w:eastAsia="Times New Roman" w:hAnsi="Noto Serif" w:cs="Noto Serif"/>
          <w:color w:val="000000"/>
          <w:kern w:val="0"/>
          <w:vertAlign w:val="superscript"/>
          <w:lang w:eastAsia="uk-UA"/>
          <w14:ligatures w14:val="none"/>
        </w:rPr>
        <w:fldChar w:fldCharType="end"/>
      </w:r>
      <w:bookmarkEnd w:id="5"/>
      <w:r w:rsidRPr="00D73E89">
        <w:rPr>
          <w:rFonts w:ascii="Noto Serif" w:eastAsia="Times New Roman" w:hAnsi="Noto Serif" w:cs="Noto Serif"/>
          <w:color w:val="000000"/>
          <w:kern w:val="0"/>
          <w:lang w:eastAsia="uk-UA"/>
          <w14:ligatures w14:val="none"/>
        </w:rPr>
        <w:t>,  відбувається в рамках Ради Європи. До Конвенції  (яка набула  чинності в листопаді 1998 р.) система контрольних органів з прав людини включала в себе також і Європейську комісію з прав людини. До неї із заявою могла звернутися будь-яка держава — учасник Конвенції 1950 р. (Україна зі вступом до Ради Європи 9 листопада 1995 року також підписала Конвенцію). Згодом  ця Комісія була скасована  і на її основі був створений єдиний Європейський суд з прав людини</w:t>
      </w:r>
      <w:bookmarkStart w:id="6" w:name="_ftnref31"/>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"https://uk.wikipedia.org/wiki/%D0%84%D0%B2%D1%80%D0%BE%D0%BF%D0%B5%D0%B9%D1%81%D1%8C%D0%BA%D0%B8%D0%B9_%D1%81%D1%83%D0%B4_%D0%B7_%D0%BF%D1%80%D0%B0%D0%B2_%D0%BB%D1%8E%D0%B4%D0%B8%D0%BD%D0%B8" \o "Європейський суд з прав людини [Електронний ресурс]. — Режим доступу : https://uk.wikipedia.org/wiki/Європейський_суд_з_прав_людини. — Назва з екрана."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[31]</w:t>
      </w:r>
      <w:r w:rsidRPr="00D73E89">
        <w:rPr>
          <w:rFonts w:ascii="Noto Serif" w:eastAsia="Times New Roman" w:hAnsi="Noto Serif" w:cs="Noto Serif"/>
          <w:color w:val="000000"/>
          <w:kern w:val="0"/>
          <w:vertAlign w:val="superscript"/>
          <w:lang w:eastAsia="uk-UA"/>
          <w14:ligatures w14:val="none"/>
        </w:rPr>
        <w:fldChar w:fldCharType="end"/>
      </w:r>
      <w:bookmarkEnd w:id="6"/>
      <w:r w:rsidRPr="00D73E89">
        <w:rPr>
          <w:rFonts w:ascii="Noto Serif" w:eastAsia="Times New Roman" w:hAnsi="Noto Serif" w:cs="Noto Serif"/>
          <w:color w:val="000000"/>
          <w:kern w:val="0"/>
          <w:lang w:eastAsia="uk-UA"/>
          <w14:ligatures w14:val="none"/>
        </w:rPr>
        <w:t>, що здійснює захист прав і свобод людини в рамках Ради Європи.</w:t>
      </w:r>
    </w:p>
    <w:p w14:paraId="23160989"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F15E8F3" w14:textId="77777777" w:rsidR="00D73E89" w:rsidRPr="00D73E89" w:rsidRDefault="00D73E89" w:rsidP="00D73E89">
      <w:pPr>
        <w:spacing w:after="0" w:line="240" w:lineRule="auto"/>
        <w:ind w:firstLine="612"/>
        <w:jc w:val="both"/>
        <w:rPr>
          <w:rFonts w:ascii="Noto Serif" w:eastAsia="Times New Roman" w:hAnsi="Noto Serif" w:cs="Noto Serif"/>
          <w:b/>
          <w:bCs/>
          <w:color w:val="0000FF"/>
          <w:kern w:val="0"/>
          <w:lang w:eastAsia="uk-UA"/>
          <w14:ligatures w14:val="none"/>
        </w:rPr>
      </w:pPr>
      <w:r w:rsidRPr="00D73E89">
        <w:rPr>
          <w:rFonts w:ascii="Noto Serif" w:eastAsia="Times New Roman" w:hAnsi="Noto Serif" w:cs="Noto Serif"/>
          <w:b/>
          <w:bCs/>
          <w:color w:val="0000FF"/>
          <w:kern w:val="0"/>
          <w:lang w:eastAsia="uk-UA"/>
          <w14:ligatures w14:val="none"/>
        </w:rPr>
        <w:t>Вперше питання основних прав людини було порушено Судом ЄС у зв'язку зі справою 29/69 «</w:t>
      </w:r>
      <w:proofErr w:type="spellStart"/>
      <w:r w:rsidRPr="00D73E89">
        <w:rPr>
          <w:rFonts w:ascii="Noto Serif" w:eastAsia="Times New Roman" w:hAnsi="Noto Serif" w:cs="Noto Serif"/>
          <w:b/>
          <w:bCs/>
          <w:color w:val="0000FF"/>
          <w:kern w:val="0"/>
          <w:lang w:eastAsia="uk-UA"/>
          <w14:ligatures w14:val="none"/>
        </w:rPr>
        <w:t>Erich</w:t>
      </w:r>
      <w:proofErr w:type="spellEnd"/>
      <w:r w:rsidRPr="00D73E89">
        <w:rPr>
          <w:rFonts w:ascii="Noto Serif" w:eastAsia="Times New Roman" w:hAnsi="Noto Serif" w:cs="Noto Serif"/>
          <w:b/>
          <w:bCs/>
          <w:color w:val="0000FF"/>
          <w:kern w:val="0"/>
          <w:lang w:eastAsia="uk-UA"/>
          <w14:ligatures w14:val="none"/>
        </w:rPr>
        <w:t xml:space="preserve"> </w:t>
      </w:r>
      <w:proofErr w:type="spellStart"/>
      <w:r w:rsidRPr="00D73E89">
        <w:rPr>
          <w:rFonts w:ascii="Noto Serif" w:eastAsia="Times New Roman" w:hAnsi="Noto Serif" w:cs="Noto Serif"/>
          <w:b/>
          <w:bCs/>
          <w:color w:val="0000FF"/>
          <w:kern w:val="0"/>
          <w:lang w:eastAsia="uk-UA"/>
          <w14:ligatures w14:val="none"/>
        </w:rPr>
        <w:t>Stauder</w:t>
      </w:r>
      <w:proofErr w:type="spellEnd"/>
      <w:r w:rsidRPr="00D73E89">
        <w:rPr>
          <w:rFonts w:ascii="Noto Serif" w:eastAsia="Times New Roman" w:hAnsi="Noto Serif" w:cs="Noto Serif"/>
          <w:b/>
          <w:bCs/>
          <w:color w:val="0000FF"/>
          <w:kern w:val="0"/>
          <w:lang w:eastAsia="uk-UA"/>
          <w14:ligatures w14:val="none"/>
        </w:rPr>
        <w:t xml:space="preserve"> с. </w:t>
      </w:r>
      <w:proofErr w:type="spellStart"/>
      <w:r w:rsidRPr="00D73E89">
        <w:rPr>
          <w:rFonts w:ascii="Noto Serif" w:eastAsia="Times New Roman" w:hAnsi="Noto Serif" w:cs="Noto Serif"/>
          <w:b/>
          <w:bCs/>
          <w:color w:val="0000FF"/>
          <w:kern w:val="0"/>
          <w:lang w:eastAsia="uk-UA"/>
          <w14:ligatures w14:val="none"/>
        </w:rPr>
        <w:t>Ville</w:t>
      </w:r>
      <w:proofErr w:type="spellEnd"/>
      <w:r w:rsidRPr="00D73E89">
        <w:rPr>
          <w:rFonts w:ascii="Noto Serif" w:eastAsia="Times New Roman" w:hAnsi="Noto Serif" w:cs="Noto Serif"/>
          <w:b/>
          <w:bCs/>
          <w:color w:val="0000FF"/>
          <w:kern w:val="0"/>
          <w:lang w:eastAsia="uk-UA"/>
          <w14:ligatures w14:val="none"/>
        </w:rPr>
        <w:t xml:space="preserve"> d </w:t>
      </w:r>
      <w:proofErr w:type="spellStart"/>
      <w:r w:rsidRPr="00D73E89">
        <w:rPr>
          <w:rFonts w:ascii="Noto Serif" w:eastAsia="Times New Roman" w:hAnsi="Noto Serif" w:cs="Noto Serif"/>
          <w:b/>
          <w:bCs/>
          <w:color w:val="0000FF"/>
          <w:kern w:val="0"/>
          <w:lang w:eastAsia="uk-UA"/>
          <w14:ligatures w14:val="none"/>
        </w:rPr>
        <w:t>Ulm-Sozialamt</w:t>
      </w:r>
      <w:proofErr w:type="spellEnd"/>
      <w:r w:rsidRPr="00D73E89">
        <w:rPr>
          <w:rFonts w:ascii="Noto Serif" w:eastAsia="Times New Roman" w:hAnsi="Noto Serif" w:cs="Noto Serif"/>
          <w:b/>
          <w:bCs/>
          <w:color w:val="0000FF"/>
          <w:kern w:val="0"/>
          <w:lang w:eastAsia="uk-UA"/>
          <w14:ligatures w14:val="none"/>
        </w:rPr>
        <w:t>» від 12 листопада 1969 р. Йшлося про постачання в рамках соціальної допомоги олії за низькою ціною. Але Заявник вимагав анулювання обов'язкового пред'явлення купона для отримання олії, який містив інформацію про його ім'я та адресу, вважаючи, що це принизливо і порушує його право на приватне життя. Суд ЄС в рішенні по справі визначив вектор судової практики щодо прав людини: «захищати основні права людини, як вони випливають із загальних принципів Спільноти».</w:t>
      </w:r>
    </w:p>
    <w:p w14:paraId="3696A7B1"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4CABFD0E" w14:textId="77777777" w:rsidR="00D73E89" w:rsidRPr="00D73E89" w:rsidRDefault="00D73E89" w:rsidP="00D73E89">
      <w:pPr>
        <w:spacing w:after="0" w:line="259" w:lineRule="atLeast"/>
        <w:jc w:val="both"/>
        <w:rPr>
          <w:rFonts w:ascii="Noto Serif" w:eastAsia="Times New Roman" w:hAnsi="Noto Serif" w:cs="Noto Serif"/>
          <w:kern w:val="0"/>
          <w:lang w:eastAsia="uk-UA"/>
          <w14:ligatures w14:val="none"/>
        </w:rPr>
      </w:pPr>
      <w:r w:rsidRPr="00D73E89">
        <w:rPr>
          <w:rFonts w:ascii="Noto Serif" w:eastAsia="Times New Roman" w:hAnsi="Noto Serif" w:cs="Noto Serif"/>
          <w:b/>
          <w:bCs/>
          <w:kern w:val="0"/>
          <w:lang w:eastAsia="uk-UA"/>
          <w14:ligatures w14:val="none"/>
        </w:rPr>
        <w:t>ЄВРОПЕЙСЬКИЙ СУД ІЗ ПРАВ ЛЮДИНИ</w:t>
      </w:r>
      <w:bookmarkStart w:id="7" w:name="_ftnref32"/>
      <w:r w:rsidRPr="00D73E89">
        <w:rPr>
          <w:rFonts w:ascii="Noto Serif" w:eastAsia="Times New Roman" w:hAnsi="Noto Serif" w:cs="Noto Serif"/>
          <w:kern w:val="0"/>
          <w:vertAlign w:val="superscript"/>
          <w:lang w:eastAsia="uk-UA"/>
          <w14:ligatures w14:val="none"/>
        </w:rPr>
        <w:fldChar w:fldCharType="begin"/>
      </w:r>
      <w:r w:rsidRPr="00D73E89">
        <w:rPr>
          <w:rFonts w:ascii="Noto Serif" w:eastAsia="Times New Roman" w:hAnsi="Noto Serif" w:cs="Noto Serif"/>
          <w:kern w:val="0"/>
          <w:vertAlign w:val="superscript"/>
          <w:lang w:eastAsia="uk-UA"/>
          <w14:ligatures w14:val="none"/>
        </w:rPr>
        <w:instrText>HYPERLINK "https://multimedia.posibnyky.vntu.edu.ua/mm/Ukraine-EU/txt/korn.htm" \l "_ftn32" \o "Місцезнаходженням Європейського суду є м. Страсбург (Франція). Засідання Європейського суду проводяться в Палаці Прав Людини"</w:instrText>
      </w:r>
      <w:r w:rsidRPr="00D73E89">
        <w:rPr>
          <w:rFonts w:ascii="Noto Serif" w:eastAsia="Times New Roman" w:hAnsi="Noto Serif" w:cs="Noto Serif"/>
          <w:kern w:val="0"/>
          <w:vertAlign w:val="superscript"/>
          <w:lang w:eastAsia="uk-UA"/>
          <w14:ligatures w14:val="none"/>
        </w:rPr>
      </w:r>
      <w:r w:rsidRPr="00D73E89">
        <w:rPr>
          <w:rFonts w:ascii="Noto Serif" w:eastAsia="Times New Roman" w:hAnsi="Noto Serif" w:cs="Noto Serif"/>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[32]</w:t>
      </w:r>
      <w:r w:rsidRPr="00D73E89">
        <w:rPr>
          <w:rFonts w:ascii="Noto Serif" w:eastAsia="Times New Roman" w:hAnsi="Noto Serif" w:cs="Noto Serif"/>
          <w:kern w:val="0"/>
          <w:vertAlign w:val="superscript"/>
          <w:lang w:eastAsia="uk-UA"/>
          <w14:ligatures w14:val="none"/>
        </w:rPr>
        <w:fldChar w:fldCharType="end"/>
      </w:r>
      <w:bookmarkEnd w:id="7"/>
      <w:r w:rsidRPr="00D73E89">
        <w:rPr>
          <w:rFonts w:ascii="Noto Serif" w:eastAsia="Times New Roman" w:hAnsi="Noto Serif" w:cs="Noto Serif"/>
          <w:kern w:val="0"/>
          <w:lang w:eastAsia="uk-UA"/>
          <w14:ligatures w14:val="none"/>
        </w:rPr>
        <w:t> —  є міжнародним органом, який може розглядати заяви, подані особами, які скаржаться на порушення своїх прав. Слід зазначити, що спочатку ЄС утворювався як суто економічна організація, тому положення про права людини в договори, що створюють Європейські співтовариства, не були включені. Принцип поваги прав і свобод людини поступово починає забезпечуватися саме практикою Суду ЄС, яка відіграла важливу роль у формуванні і розвитку механізмів захисту прав людини в ЄС. Ці права гарантуються як самою Конвенцією, так і протоколами до неї (Протоколи № 1, 4, 6, 7, 12 і 13).</w:t>
      </w:r>
    </w:p>
    <w:p w14:paraId="15491CB3" w14:textId="5250F9C9"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30DEAD42" w14:textId="77777777" w:rsidR="00D73E89" w:rsidRPr="00D73E89" w:rsidRDefault="00D73E89" w:rsidP="00D73E89">
      <w:pPr>
        <w:spacing w:after="0" w:line="259" w:lineRule="atLeast"/>
        <w:jc w:val="both"/>
        <w:rPr>
          <w:rFonts w:ascii="Noto Serif" w:eastAsia="Times New Roman" w:hAnsi="Noto Serif" w:cs="Noto Serif"/>
          <w:kern w:val="0"/>
          <w:lang w:eastAsia="uk-UA"/>
          <w14:ligatures w14:val="none"/>
        </w:rPr>
      </w:pPr>
      <w:r w:rsidRPr="00D73E89">
        <w:rPr>
          <w:rFonts w:ascii="Noto Serif" w:eastAsia="Times New Roman" w:hAnsi="Noto Serif" w:cs="Noto Serif"/>
          <w:b/>
          <w:bCs/>
          <w:kern w:val="0"/>
          <w:lang w:eastAsia="uk-UA"/>
          <w14:ligatures w14:val="none"/>
        </w:rPr>
        <w:t>СУБ’ЄКТИ ПОДАННЯ СКАРГИ ДО ЄВРОПЕЙСЬКОГО СУДУ —</w:t>
      </w:r>
    </w:p>
    <w:p w14:paraId="69A99996"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По-перше, це може бути будь-яка </w:t>
      </w:r>
      <w:r w:rsidRPr="00D73E89">
        <w:rPr>
          <w:rFonts w:ascii="Noto Serif" w:eastAsia="Times New Roman" w:hAnsi="Noto Serif" w:cs="Noto Serif"/>
          <w:b/>
          <w:bCs/>
          <w:kern w:val="0"/>
          <w:lang w:eastAsia="uk-UA"/>
          <w14:ligatures w14:val="none"/>
        </w:rPr>
        <w:t>ДЕРЖАВА-УЧАСНИЦЯ КОНВЕНЦІЇ</w:t>
      </w:r>
      <w:r w:rsidRPr="00D73E89">
        <w:rPr>
          <w:rFonts w:ascii="Noto Serif" w:eastAsia="Times New Roman" w:hAnsi="Noto Serif" w:cs="Noto Serif"/>
          <w:kern w:val="0"/>
          <w:lang w:eastAsia="uk-UA"/>
          <w14:ligatures w14:val="none"/>
        </w:rPr>
        <w:t>, яка  може передати на розгляд Суду питання про будь-яке порушення Конвенції чи протоколів до неї іншою державою-учасницею. Якщо заяву визнано прийнятною, Суд може у випадку необхідності провести розслідування, в тому числі з виїздом до держави, проти якої подано скаргу. Суд має право сприяти дружньому врегулюванню спору, яке є конфіденційним. Якщо воно досягнуто, то Суд складає доповідь з коротким викладенням фактів і досягнутого рішення, яке підлягає опублікуванню. Рішення Європейського суду є обов'язковими для держав - учасниць Конвенції. Контроль за їх виконанням паралельно із Європейським судом здійснює Комітет Міністрів Ради Європи. Крім того, на запит Комітету Міністрів Європейський суд надає консультативні висновки з питань права щодо тлумачення і застосування норм Конвенції.</w:t>
      </w:r>
    </w:p>
    <w:p w14:paraId="2A75FCD0"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По-друге, Суд може приймати заяви від будь-якої </w:t>
      </w:r>
      <w:r w:rsidRPr="00D73E89">
        <w:rPr>
          <w:rFonts w:ascii="Noto Serif" w:eastAsia="Times New Roman" w:hAnsi="Noto Serif" w:cs="Noto Serif"/>
          <w:b/>
          <w:bCs/>
          <w:kern w:val="0"/>
          <w:lang w:eastAsia="uk-UA"/>
          <w14:ligatures w14:val="none"/>
        </w:rPr>
        <w:t>ОСОБИ, НЕУРЯДОВОЇ ОРГАНІЗАЦІЇ ЧИ ГРУПИ ОСІБ</w:t>
      </w:r>
      <w:r w:rsidRPr="00D73E89">
        <w:rPr>
          <w:rFonts w:ascii="Noto Serif" w:eastAsia="Times New Roman" w:hAnsi="Noto Serif" w:cs="Noto Serif"/>
          <w:kern w:val="0"/>
          <w:lang w:eastAsia="uk-UA"/>
          <w14:ligatures w14:val="none"/>
        </w:rPr>
        <w:t>, які вважають себе постраждалими від порушення однією з держав-членів Конвенції тих прав, які викладено в Конвенції чи в протоколах до неї.  Заявником може бути не лише громадянин тієї держави, в якій сталося порушення, але і будь-який іноземець або особа без громадянства, що опинилася під юрисдикцією держави-учасниці Конвенції, незалежно від того, проживає ця особа в державі постійно чи знаходиться тимчасово.</w:t>
      </w:r>
    </w:p>
    <w:p w14:paraId="0B7091EE"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xml:space="preserve">Це може бути будь-яка особа, що незаконно опинилася на території держави, в тому числі затримана при незаконному перетині кордону. Конвенція не містить обмежень </w:t>
      </w:r>
      <w:r w:rsidRPr="00D73E89">
        <w:rPr>
          <w:rFonts w:ascii="Noto Serif" w:eastAsia="Times New Roman" w:hAnsi="Noto Serif" w:cs="Noto Serif"/>
          <w:kern w:val="0"/>
          <w:lang w:eastAsia="uk-UA"/>
          <w14:ligatures w14:val="none"/>
        </w:rPr>
        <w:lastRenderedPageBreak/>
        <w:t>відносно дієздатності особи, яка звертається до Суду. Тому звертатися  можуть неповнолітні, а також обмежено дієздатні і недієздатні особи.</w:t>
      </w:r>
      <w:bookmarkStart w:id="8" w:name="_ftnref33"/>
      <w:r w:rsidRPr="00D73E89">
        <w:rPr>
          <w:rFonts w:ascii="Noto Serif" w:eastAsia="Times New Roman" w:hAnsi="Noto Serif" w:cs="Noto Serif"/>
          <w:kern w:val="0"/>
          <w:lang w:eastAsia="uk-UA"/>
          <w14:ligatures w14:val="none"/>
        </w:rPr>
        <w:fldChar w:fldCharType="begin"/>
      </w:r>
      <w:r w:rsidRPr="00D73E89">
        <w:rPr>
          <w:rFonts w:ascii="Noto Serif" w:eastAsia="Times New Roman" w:hAnsi="Noto Serif" w:cs="Noto Serif"/>
          <w:kern w:val="0"/>
          <w:lang w:eastAsia="uk-UA"/>
          <w14:ligatures w14:val="none"/>
        </w:rPr>
        <w:instrText>HYPERLINK "http://www.khpg.org/index.php?id=1080677442" \o "Буроменський М. Звернення до Європейського суду з прав людини: практика Суду і особливості укра-їнського законодавства [Електронний режим] / М. Буроменський . — Режим доступу : http://www.khpg.org/index.php?id=1080677442 . — Назва з екрана."</w:instrText>
      </w:r>
      <w:r w:rsidRPr="00D73E89">
        <w:rPr>
          <w:rFonts w:ascii="Noto Serif" w:eastAsia="Times New Roman" w:hAnsi="Noto Serif" w:cs="Noto Serif"/>
          <w:kern w:val="0"/>
          <w:lang w:eastAsia="uk-UA"/>
          <w14:ligatures w14:val="none"/>
        </w:rPr>
      </w:r>
      <w:r w:rsidRPr="00D73E89">
        <w:rPr>
          <w:rFonts w:ascii="Noto Serif" w:eastAsia="Times New Roman" w:hAnsi="Noto Serif" w:cs="Noto Serif"/>
          <w:kern w:val="0"/>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[33]</w:t>
      </w:r>
      <w:r w:rsidRPr="00D73E89">
        <w:rPr>
          <w:rFonts w:ascii="Noto Serif" w:eastAsia="Times New Roman" w:hAnsi="Noto Serif" w:cs="Noto Serif"/>
          <w:kern w:val="0"/>
          <w:lang w:eastAsia="uk-UA"/>
          <w14:ligatures w14:val="none"/>
        </w:rPr>
        <w:fldChar w:fldCharType="end"/>
      </w:r>
      <w:bookmarkEnd w:id="8"/>
    </w:p>
    <w:p w14:paraId="789B0D2E" w14:textId="77777777" w:rsidR="00D73E89" w:rsidRPr="00D73E89" w:rsidRDefault="00D73E89" w:rsidP="00D73E89">
      <w:pPr>
        <w:spacing w:after="0" w:line="240" w:lineRule="auto"/>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6F55A6FA" w14:textId="078B77AE" w:rsidR="00D73E89" w:rsidRPr="00D73E89" w:rsidRDefault="00D73E89" w:rsidP="00D73E89">
      <w:pPr>
        <w:spacing w:after="0" w:line="240" w:lineRule="auto"/>
        <w:rPr>
          <w:rFonts w:ascii="Noto Serif" w:eastAsia="Times New Roman" w:hAnsi="Noto Serif" w:cs="Noto Serif"/>
          <w:kern w:val="0"/>
          <w:sz w:val="24"/>
          <w:szCs w:val="24"/>
          <w:lang w:eastAsia="uk-UA"/>
          <w14:ligatures w14:val="none"/>
        </w:rPr>
      </w:pPr>
    </w:p>
    <w:p w14:paraId="43F3BC08" w14:textId="77777777" w:rsidR="00D73E89" w:rsidRPr="00D73E89" w:rsidRDefault="00D73E89" w:rsidP="00D73E89">
      <w:pPr>
        <w:spacing w:after="0" w:line="240" w:lineRule="auto"/>
        <w:ind w:firstLine="612"/>
        <w:jc w:val="both"/>
        <w:rPr>
          <w:rFonts w:ascii="Noto Serif" w:eastAsia="Times New Roman" w:hAnsi="Noto Serif" w:cs="Noto Serif"/>
          <w:b/>
          <w:bCs/>
          <w:color w:val="0000FF"/>
          <w:kern w:val="0"/>
          <w:lang w:eastAsia="uk-UA"/>
          <w14:ligatures w14:val="none"/>
        </w:rPr>
      </w:pPr>
      <w:r w:rsidRPr="00D73E89">
        <w:rPr>
          <w:rFonts w:ascii="Noto Serif" w:eastAsia="Times New Roman" w:hAnsi="Noto Serif" w:cs="Noto Serif"/>
          <w:b/>
          <w:bCs/>
          <w:color w:val="0000FF"/>
          <w:kern w:val="0"/>
          <w:lang w:eastAsia="uk-UA"/>
          <w14:ligatures w14:val="none"/>
        </w:rPr>
        <w:t>Наприклад, Австрія у 1960 році подала заяву проти Італії з приводу порушення принципу справедливості судового процесу на захист прав активістів в Південному Тиролі. В 1972 році Ірландія розпочала справу проти Великобританії за звинуваченням у застосуванні катувань і насилля поліцією і армією в Ольстері. В 1982 році відразу декілька скандинавських держав, а також Франція і Нідерланди звернулися з позовом проти Туреччини в зв’язку з порушенням прав людини військовою хунтою.</w:t>
      </w:r>
    </w:p>
    <w:p w14:paraId="78815871"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152AE994" w14:textId="77777777" w:rsidR="00D73E89" w:rsidRPr="00D73E89" w:rsidRDefault="00D73E89" w:rsidP="00D73E89">
      <w:pPr>
        <w:spacing w:after="0" w:line="259" w:lineRule="atLeast"/>
        <w:jc w:val="both"/>
        <w:rPr>
          <w:rFonts w:ascii="Noto Serif" w:eastAsia="Times New Roman" w:hAnsi="Noto Serif" w:cs="Noto Serif"/>
          <w:kern w:val="0"/>
          <w:lang w:eastAsia="uk-UA"/>
          <w14:ligatures w14:val="none"/>
        </w:rPr>
      </w:pPr>
      <w:r w:rsidRPr="00D73E89">
        <w:rPr>
          <w:rFonts w:ascii="Noto Serif" w:eastAsia="Times New Roman" w:hAnsi="Noto Serif" w:cs="Noto Serif"/>
          <w:b/>
          <w:bCs/>
          <w:kern w:val="0"/>
          <w:lang w:eastAsia="uk-UA"/>
          <w14:ligatures w14:val="none"/>
        </w:rPr>
        <w:t>ПОРЯДОК ПОДАННЯ СКАРГИ ДО ЄВРОПЕЙСЬКОГО СУДУ</w:t>
      </w:r>
      <w:r w:rsidRPr="00D73E89">
        <w:rPr>
          <w:rFonts w:ascii="Noto Serif" w:eastAsia="Times New Roman" w:hAnsi="Noto Serif" w:cs="Noto Serif"/>
          <w:kern w:val="0"/>
          <w:lang w:eastAsia="uk-UA"/>
          <w14:ligatures w14:val="none"/>
        </w:rPr>
        <w:t> — право подання індивідуальних заяв є одним із найбільш ефективних засобів захисту прав людини, який був встановлений Європейською конвенцією. Але коли і як можна звернутися до Європейського суду з прав людини, – відомо далеко не всім. Недостатність інформації часто призводить до того, що громадяни переоцінюють компетенції цього суду, й помилково вважають, що подати скаргу до нього можна у будь-якому випадку, коли хтось вважає, що його права порушено.</w:t>
      </w:r>
    </w:p>
    <w:p w14:paraId="2A4F966D"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Отже, звернутися до Європейського суду з прав людини  можна лише за таких умов: </w:t>
      </w:r>
      <w:bookmarkStart w:id="9" w:name="_ftnref34"/>
      <w:r w:rsidRPr="00D73E89">
        <w:rPr>
          <w:rFonts w:ascii="Noto Serif" w:eastAsia="Times New Roman" w:hAnsi="Noto Serif" w:cs="Noto Serif"/>
          <w:kern w:val="0"/>
          <w:lang w:eastAsia="uk-UA"/>
          <w14:ligatures w14:val="none"/>
        </w:rPr>
        <w:fldChar w:fldCharType="begin"/>
      </w:r>
      <w:r w:rsidRPr="00D73E89">
        <w:rPr>
          <w:rFonts w:ascii="Noto Serif" w:eastAsia="Times New Roman" w:hAnsi="Noto Serif" w:cs="Noto Serif"/>
          <w:kern w:val="0"/>
          <w:lang w:eastAsia="uk-UA"/>
          <w14:ligatures w14:val="none"/>
        </w:rPr>
        <w:instrText>HYPERLINK "http://pravo.org.ua/images/documents/pt_ec.pdf" \o "Найдетальніша інформація знаходиться тут: Як і коли можна звернутися до європейського суду з прав людини? [Електронний режим] /автори-упорядн. Р. О. Куйбіда, Т. В. Руда. — Київ, 2011. — 56 с.— Ре-жим доступу : http://pravo.org.ua/images/documents/pt_ec.pdf. — Назва з екрана."</w:instrText>
      </w:r>
      <w:r w:rsidRPr="00D73E89">
        <w:rPr>
          <w:rFonts w:ascii="Noto Serif" w:eastAsia="Times New Roman" w:hAnsi="Noto Serif" w:cs="Noto Serif"/>
          <w:kern w:val="0"/>
          <w:lang w:eastAsia="uk-UA"/>
          <w14:ligatures w14:val="none"/>
        </w:rPr>
      </w:r>
      <w:r w:rsidRPr="00D73E89">
        <w:rPr>
          <w:rFonts w:ascii="Noto Serif" w:eastAsia="Times New Roman" w:hAnsi="Noto Serif" w:cs="Noto Serif"/>
          <w:kern w:val="0"/>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[34]</w:t>
      </w:r>
      <w:r w:rsidRPr="00D73E89">
        <w:rPr>
          <w:rFonts w:ascii="Noto Serif" w:eastAsia="Times New Roman" w:hAnsi="Noto Serif" w:cs="Noto Serif"/>
          <w:kern w:val="0"/>
          <w:lang w:eastAsia="uk-UA"/>
          <w14:ligatures w14:val="none"/>
        </w:rPr>
        <w:fldChar w:fldCharType="end"/>
      </w:r>
      <w:bookmarkEnd w:id="9"/>
    </w:p>
    <w:p w14:paraId="4A4AAE43"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noProof/>
          <w:kern w:val="0"/>
          <w:lang w:eastAsia="uk-UA"/>
          <w14:ligatures w14:val="none"/>
        </w:rPr>
        <w:drawing>
          <wp:inline distT="0" distB="0" distL="0" distR="0" wp14:anchorId="24A2D478" wp14:editId="15BDCA3A">
            <wp:extent cx="188595" cy="188595"/>
            <wp:effectExtent l="0" t="0" r="1905" b="1905"/>
            <wp:docPr id="197"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kern w:val="0"/>
          <w:lang w:eastAsia="uk-UA"/>
          <w14:ligatures w14:val="none"/>
        </w:rPr>
        <w:t>    Ви маєте намір оскаржити поведінку держави, яка сама порушила Ваше право чи свободу або не забезпечила їх захисту;</w:t>
      </w:r>
    </w:p>
    <w:p w14:paraId="2E0C11F0"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2018F69C"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noProof/>
          <w:kern w:val="0"/>
          <w:lang w:eastAsia="uk-UA"/>
          <w14:ligatures w14:val="none"/>
        </w:rPr>
        <w:drawing>
          <wp:inline distT="0" distB="0" distL="0" distR="0" wp14:anchorId="2D03C340" wp14:editId="0466403A">
            <wp:extent cx="188595" cy="188595"/>
            <wp:effectExtent l="0" t="0" r="1905" b="1905"/>
            <wp:docPr id="198" name="Рисунок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kern w:val="0"/>
          <w:lang w:eastAsia="uk-UA"/>
          <w14:ligatures w14:val="none"/>
        </w:rPr>
        <w:t>    йдеться про порушення права чи свободи, що гарантується Європейською конвенцією з прав людини;</w:t>
      </w:r>
    </w:p>
    <w:p w14:paraId="78B99104"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01FD3833"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noProof/>
          <w:kern w:val="0"/>
          <w:lang w:eastAsia="uk-UA"/>
          <w14:ligatures w14:val="none"/>
        </w:rPr>
        <w:drawing>
          <wp:inline distT="0" distB="0" distL="0" distR="0" wp14:anchorId="61BA999B" wp14:editId="4EA3B36A">
            <wp:extent cx="188595" cy="188595"/>
            <wp:effectExtent l="0" t="0" r="1905" b="1905"/>
            <wp:docPr id="199" name="Рисунок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kern w:val="0"/>
          <w:lang w:eastAsia="uk-UA"/>
          <w14:ligatures w14:val="none"/>
        </w:rPr>
        <w:t>    Ви вичерпали усі доступні Вам ефективні національні засоби юридичного захисту;</w:t>
      </w:r>
    </w:p>
    <w:p w14:paraId="6A61A5D0"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3F22F9A0"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noProof/>
          <w:kern w:val="0"/>
          <w:lang w:eastAsia="uk-UA"/>
          <w14:ligatures w14:val="none"/>
        </w:rPr>
        <w:drawing>
          <wp:inline distT="0" distB="0" distL="0" distR="0" wp14:anchorId="7926B6C1" wp14:editId="5D3E14BB">
            <wp:extent cx="188595" cy="188595"/>
            <wp:effectExtent l="0" t="0" r="1905" b="1905"/>
            <wp:docPr id="200" name="Рисунок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kern w:val="0"/>
          <w:lang w:eastAsia="uk-UA"/>
          <w14:ligatures w14:val="none"/>
        </w:rPr>
        <w:t>    Ви не пропустили строку звернення до Суду;</w:t>
      </w:r>
    </w:p>
    <w:p w14:paraId="3BCF5088" w14:textId="77777777" w:rsidR="00D73E89" w:rsidRPr="00D73E89" w:rsidRDefault="00D73E89" w:rsidP="00D73E89">
      <w:pPr>
        <w:spacing w:after="0" w:line="259" w:lineRule="atLeast"/>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76EB44E7" w14:textId="761B4B75" w:rsidR="00D73E89" w:rsidRPr="00D73E89" w:rsidRDefault="00D73E89" w:rsidP="00D73E89">
      <w:pPr>
        <w:spacing w:after="0" w:line="259" w:lineRule="atLeast"/>
        <w:ind w:firstLine="480"/>
        <w:jc w:val="both"/>
        <w:rPr>
          <w:rFonts w:ascii="Noto Serif" w:eastAsia="Times New Roman" w:hAnsi="Noto Serif" w:cs="Noto Serif"/>
          <w:kern w:val="0"/>
          <w:sz w:val="24"/>
          <w:szCs w:val="24"/>
          <w:lang w:eastAsia="uk-UA"/>
          <w14:ligatures w14:val="none"/>
        </w:rPr>
      </w:pPr>
      <w:r w:rsidRPr="00D73E89">
        <w:rPr>
          <w:rFonts w:ascii="Noto Serif" w:eastAsia="Times New Roman" w:hAnsi="Noto Serif" w:cs="Noto Serif"/>
          <w:noProof/>
          <w:kern w:val="0"/>
          <w:lang w:eastAsia="uk-UA"/>
          <w14:ligatures w14:val="none"/>
        </w:rPr>
        <w:drawing>
          <wp:inline distT="0" distB="0" distL="0" distR="0" wp14:anchorId="31AE2546" wp14:editId="00D8B205">
            <wp:extent cx="188595" cy="188595"/>
            <wp:effectExtent l="0" t="0" r="1905" b="1905"/>
            <wp:docPr id="201" name="Рисунок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kern w:val="0"/>
          <w:lang w:eastAsia="uk-UA"/>
          <w14:ligatures w14:val="none"/>
        </w:rPr>
        <w:t>    Ваша справа ще не розглядалася Судом з тих самих підстав і Ви не використовуєте інший міжнародний механізм захисту своїх прав. </w:t>
      </w:r>
    </w:p>
    <w:p w14:paraId="3ABF399F" w14:textId="77777777" w:rsidR="00D73E89" w:rsidRPr="00D73E89" w:rsidRDefault="00D73E89" w:rsidP="00D73E89">
      <w:pPr>
        <w:spacing w:after="0" w:line="240" w:lineRule="auto"/>
        <w:ind w:firstLine="612"/>
        <w:jc w:val="both"/>
        <w:rPr>
          <w:rFonts w:ascii="Noto Serif" w:eastAsia="Times New Roman" w:hAnsi="Noto Serif" w:cs="Noto Serif"/>
          <w:b/>
          <w:bCs/>
          <w:color w:val="0000FF"/>
          <w:kern w:val="0"/>
          <w:lang w:eastAsia="uk-UA"/>
          <w14:ligatures w14:val="none"/>
        </w:rPr>
      </w:pPr>
      <w:r w:rsidRPr="00D73E89">
        <w:rPr>
          <w:rFonts w:ascii="Noto Serif" w:eastAsia="Times New Roman" w:hAnsi="Noto Serif" w:cs="Noto Serif"/>
          <w:b/>
          <w:bCs/>
          <w:color w:val="0000FF"/>
          <w:kern w:val="0"/>
          <w:lang w:eastAsia="uk-UA"/>
          <w14:ligatures w14:val="none"/>
        </w:rPr>
        <w:t>Зверніть увагу: Європейський суд з прав людини розглядає заяви щодо порушень </w:t>
      </w:r>
      <w:r w:rsidRPr="00D73E89">
        <w:rPr>
          <w:rFonts w:ascii="Noto Serif" w:eastAsia="Times New Roman" w:hAnsi="Noto Serif" w:cs="Noto Serif"/>
          <w:b/>
          <w:bCs/>
          <w:i/>
          <w:iCs/>
          <w:color w:val="0000FF"/>
          <w:kern w:val="0"/>
          <w:lang w:eastAsia="uk-UA"/>
          <w14:ligatures w14:val="none"/>
        </w:rPr>
        <w:t>лише тих прав та свобод, що гарантовані Європейською конвенцією про захист прав людини.</w:t>
      </w:r>
      <w:r w:rsidRPr="00D73E89">
        <w:rPr>
          <w:rFonts w:ascii="Noto Serif" w:eastAsia="Times New Roman" w:hAnsi="Noto Serif" w:cs="Noto Serif"/>
          <w:b/>
          <w:bCs/>
          <w:color w:val="0000FF"/>
          <w:kern w:val="0"/>
          <w:lang w:eastAsia="uk-UA"/>
          <w14:ligatures w14:val="none"/>
        </w:rPr>
        <w:br/>
        <w:t>    Слід мати на увазі, що розгляд скарг на дії приватних осіб або держав, які не є учасницями Європейської конвенції про захист прав людини, не належить до компетенції Суду. Наприклад, якщо Маша вдарила Дашу пательнею в процесі сварки на кухні у студентському гуртожитку, чи із приводу грошей, які заборгував Вам сусід, — до Європейського суду з прав людини звертатися немає сенсу. Лише, якщо при розгляді цих чи інших питань національні (тобто українські) органи зокрема суди, порушили Ваше право на справедливий судовий розгляд або інше право, що гарантоване Європейською конвенцією про захист прав людини, тоді Ви маєте можливість звернутися до Суду.</w:t>
      </w:r>
    </w:p>
    <w:p w14:paraId="55124B39" w14:textId="77777777" w:rsidR="00D73E89" w:rsidRPr="00D73E89" w:rsidRDefault="00D73E89" w:rsidP="00D73E89">
      <w:pPr>
        <w:spacing w:after="0" w:line="240" w:lineRule="auto"/>
        <w:ind w:firstLine="480"/>
        <w:jc w:val="both"/>
        <w:rPr>
          <w:rFonts w:ascii="Noto Serif" w:eastAsia="Times New Roman" w:hAnsi="Noto Serif" w:cs="Noto Serif"/>
          <w:kern w:val="0"/>
          <w:lang w:eastAsia="uk-UA"/>
          <w14:ligatures w14:val="none"/>
        </w:rPr>
      </w:pPr>
      <w:r w:rsidRPr="00D73E89">
        <w:rPr>
          <w:rFonts w:ascii="Noto Serif" w:eastAsia="Times New Roman" w:hAnsi="Noto Serif" w:cs="Noto Serif"/>
          <w:kern w:val="0"/>
          <w:lang w:eastAsia="uk-UA"/>
          <w14:ligatures w14:val="none"/>
        </w:rPr>
        <w:t> </w:t>
      </w:r>
    </w:p>
    <w:p w14:paraId="39DCA7F8"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61249BE6"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547DB958"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i/>
          <w:iCs/>
          <w:color w:val="000000"/>
          <w:kern w:val="0"/>
          <w:lang w:eastAsia="uk-UA"/>
          <w14:ligatures w14:val="none"/>
        </w:rPr>
        <w:t> </w:t>
      </w:r>
    </w:p>
    <w:p w14:paraId="763C494B"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i/>
          <w:iCs/>
          <w:color w:val="000000"/>
          <w:kern w:val="0"/>
          <w:lang w:eastAsia="uk-UA"/>
          <w14:ligatures w14:val="none"/>
        </w:rPr>
        <w:t> </w:t>
      </w:r>
    </w:p>
    <w:p w14:paraId="01D4CAC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i/>
          <w:iCs/>
          <w:color w:val="000000"/>
          <w:kern w:val="0"/>
          <w:lang w:eastAsia="uk-UA"/>
          <w14:ligatures w14:val="none"/>
        </w:rPr>
        <w:t> </w:t>
      </w:r>
    </w:p>
    <w:p w14:paraId="5B73993E" w14:textId="77777777" w:rsidR="00D73E89" w:rsidRPr="00D73E89" w:rsidRDefault="00D73E89" w:rsidP="00D73E89">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D73E89">
        <w:rPr>
          <w:rFonts w:ascii="Noto Serif" w:eastAsia="Times New Roman" w:hAnsi="Noto Serif" w:cs="Noto Serif"/>
          <w:b/>
          <w:bCs/>
          <w:i/>
          <w:iCs/>
          <w:color w:val="000000"/>
          <w:kern w:val="0"/>
          <w:sz w:val="26"/>
          <w:szCs w:val="26"/>
          <w:lang w:eastAsia="uk-UA"/>
          <w14:ligatures w14:val="none"/>
        </w:rPr>
        <w:t>3.4 БЮДЖЕТ ЄВРОПЕЙСЬКОГО СОЮЗУ</w:t>
      </w:r>
    </w:p>
    <w:p w14:paraId="7CCAC9C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0AAB9124"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lastRenderedPageBreak/>
        <w:t>БЮДЖЕТ ЄВРОПЕЙСЬКОГО СОЮЗУ</w:t>
      </w:r>
      <w:r w:rsidRPr="00D73E89">
        <w:rPr>
          <w:rFonts w:ascii="Noto Serif" w:eastAsia="Times New Roman" w:hAnsi="Noto Serif" w:cs="Noto Serif"/>
          <w:color w:val="000000"/>
          <w:kern w:val="0"/>
          <w:lang w:eastAsia="uk-UA"/>
          <w14:ligatures w14:val="none"/>
        </w:rPr>
        <w:t> —  є централізованим фондом грошових коштів країн-членів та водночас фінансовим планом. Він є відображенням як завдань ЄС, так і можливостей щодо формування доходів й покликаний сприяти реалізації політики й стратегії розвитку ЄС у таких найважливіших напрямах:</w:t>
      </w:r>
    </w:p>
    <w:p w14:paraId="72EBCE3E"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30350C3B" wp14:editId="7E22F19F">
            <wp:extent cx="188595" cy="188595"/>
            <wp:effectExtent l="0" t="0" r="1905" b="1905"/>
            <wp:docPr id="203"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забезпечення високих темпів економічного зростання;</w:t>
      </w:r>
    </w:p>
    <w:p w14:paraId="5B541B41"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1D9C57D3" wp14:editId="11E20542">
            <wp:extent cx="188595" cy="188595"/>
            <wp:effectExtent l="0" t="0" r="1905" b="1905"/>
            <wp:docPr id="204" name="Рисунок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вирівнювання рівнів соціально-культурного розвитку регіонів;</w:t>
      </w:r>
    </w:p>
    <w:p w14:paraId="44A67AD5"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26F07305" wp14:editId="71794993">
            <wp:extent cx="188595" cy="188595"/>
            <wp:effectExtent l="0" t="0" r="1905" b="1905"/>
            <wp:docPr id="205" name="Рисунок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підтримка валютної стабільності;</w:t>
      </w:r>
    </w:p>
    <w:p w14:paraId="757B2436" w14:textId="1BBEAB66"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drawing>
          <wp:inline distT="0" distB="0" distL="0" distR="0" wp14:anchorId="55088689" wp14:editId="431E129B">
            <wp:extent cx="188595" cy="188595"/>
            <wp:effectExtent l="0" t="0" r="1905" b="1905"/>
            <wp:docPr id="206" name="Рисунок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стимулювання розробки та впровадження нових технологій. </w:t>
      </w:r>
    </w:p>
    <w:p w14:paraId="10291305" w14:textId="77777777" w:rsidR="00D73E89" w:rsidRPr="00D73E89" w:rsidRDefault="00D73E89" w:rsidP="00D73E89">
      <w:pPr>
        <w:spacing w:after="0" w:line="240" w:lineRule="auto"/>
        <w:jc w:val="center"/>
        <w:rPr>
          <w:rFonts w:ascii="Noto Serif" w:eastAsia="Times New Roman" w:hAnsi="Noto Serif" w:cs="Noto Serif"/>
          <w:color w:val="000000"/>
          <w:kern w:val="0"/>
          <w:sz w:val="24"/>
          <w:szCs w:val="24"/>
          <w:lang w:eastAsia="uk-UA"/>
          <w14:ligatures w14:val="none"/>
        </w:rPr>
      </w:pPr>
      <w:r w:rsidRPr="00D73E89">
        <w:rPr>
          <w:rFonts w:ascii="Noto Serif" w:eastAsia="Times New Roman" w:hAnsi="Noto Serif" w:cs="Noto Serif"/>
          <w:noProof/>
          <w:color w:val="000000"/>
          <w:kern w:val="0"/>
          <w:sz w:val="24"/>
          <w:szCs w:val="24"/>
          <w:lang w:eastAsia="uk-UA"/>
          <w14:ligatures w14:val="none"/>
        </w:rPr>
        <w:lastRenderedPageBreak/>
        <w:drawing>
          <wp:inline distT="0" distB="0" distL="0" distR="0" wp14:anchorId="73BCA02B" wp14:editId="6EF3DAF9">
            <wp:extent cx="7146290" cy="8438322"/>
            <wp:effectExtent l="0" t="0" r="0" b="1270"/>
            <wp:docPr id="207" name="Рисунок 108" descr="Зарезервировано: ОСНОВНІ ПРИНЦИПИ БЮДЖЕТНОЇ ПОЛІТИКИ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Зарезервировано: ОСНОВНІ ПРИНЦИПИ БЮДЖЕТНОЇ ПОЛІТИКИ Є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6965" cy="8439119"/>
                    </a:xfrm>
                    <a:prstGeom prst="rect">
                      <a:avLst/>
                    </a:prstGeom>
                    <a:noFill/>
                    <a:ln>
                      <a:noFill/>
                    </a:ln>
                  </pic:spPr>
                </pic:pic>
              </a:graphicData>
            </a:graphic>
          </wp:inline>
        </w:drawing>
      </w:r>
    </w:p>
    <w:p w14:paraId="12CB73C5"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Рис. 3.4  Принципи бюджетної політики ЄС</w:t>
      </w:r>
    </w:p>
    <w:p w14:paraId="222514F3"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03A17397" w14:textId="77777777" w:rsidR="00D73E89" w:rsidRPr="00D73E89" w:rsidRDefault="00D73E89" w:rsidP="00D73E89">
      <w:pPr>
        <w:spacing w:after="0" w:line="240" w:lineRule="auto"/>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ДЖЕРЕЛА ФОРМУВАННЯ БЮДЖЕТУ ЄС — </w:t>
      </w:r>
      <w:r w:rsidRPr="00D73E89">
        <w:rPr>
          <w:rFonts w:ascii="Noto Serif" w:eastAsia="Times New Roman" w:hAnsi="Noto Serif" w:cs="Noto Serif"/>
          <w:color w:val="000000"/>
          <w:kern w:val="0"/>
          <w:lang w:eastAsia="uk-UA"/>
          <w14:ligatures w14:val="none"/>
        </w:rPr>
        <w:t>на початку 1970-х років була створена система власних доходів бюджету ЄС, яка базується на спільній фінансовій відповідальності і солідарності:  всі держави-члени ЄС зобов'язані брати участь у формуванні доходів бюджету, а  внески держав-членів ЄС приводяться у відповідність до їх фінансових можливостей.</w:t>
      </w:r>
    </w:p>
    <w:p w14:paraId="63DC1C01"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noProof/>
          <w:color w:val="000000"/>
          <w:kern w:val="0"/>
          <w:lang w:eastAsia="uk-UA"/>
          <w14:ligatures w14:val="none"/>
        </w:rPr>
        <w:lastRenderedPageBreak/>
        <w:drawing>
          <wp:inline distT="0" distB="0" distL="0" distR="0" wp14:anchorId="5375F1D5" wp14:editId="6ECB57AF">
            <wp:extent cx="5744845" cy="725805"/>
            <wp:effectExtent l="0" t="0" r="8255" b="0"/>
            <wp:docPr id="208" name="Рисунок 107" descr="Зарезервировано: ВЛАСНІ РЕСУРСИ БЮДЖЕТУ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Зарезервировано: ВЛАСНІ РЕСУРСИ БЮДЖЕТУ Є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4845" cy="725805"/>
                    </a:xfrm>
                    <a:prstGeom prst="rect">
                      <a:avLst/>
                    </a:prstGeom>
                    <a:noFill/>
                    <a:ln>
                      <a:noFill/>
                    </a:ln>
                  </pic:spPr>
                </pic:pic>
              </a:graphicData>
            </a:graphic>
          </wp:inline>
        </w:drawing>
      </w:r>
      <w:r w:rsidRPr="00D73E89">
        <w:rPr>
          <w:rFonts w:ascii="Noto Serif" w:eastAsia="Times New Roman" w:hAnsi="Noto Serif" w:cs="Noto Serif"/>
          <w:color w:val="000000"/>
          <w:kern w:val="0"/>
          <w:lang w:eastAsia="uk-UA"/>
          <w14:ligatures w14:val="none"/>
        </w:rPr>
        <w:t> </w:t>
      </w:r>
    </w:p>
    <w:p w14:paraId="0E2B3C64"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r w:rsidRPr="00D73E89">
        <w:rPr>
          <w:rFonts w:ascii="Noto Serif" w:eastAsia="Times New Roman" w:hAnsi="Noto Serif" w:cs="Noto Serif"/>
          <w:noProof/>
          <w:color w:val="000000"/>
          <w:kern w:val="0"/>
          <w:lang w:eastAsia="uk-UA"/>
          <w14:ligatures w14:val="none"/>
        </w:rPr>
        <w:drawing>
          <wp:inline distT="0" distB="0" distL="0" distR="0" wp14:anchorId="09EFD694" wp14:editId="6C1EA6DA">
            <wp:extent cx="7782560" cy="4979504"/>
            <wp:effectExtent l="0" t="0" r="0" b="0"/>
            <wp:docPr id="20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97197" cy="4988869"/>
                    </a:xfrm>
                    <a:prstGeom prst="rect">
                      <a:avLst/>
                    </a:prstGeom>
                    <a:noFill/>
                    <a:ln>
                      <a:noFill/>
                    </a:ln>
                  </pic:spPr>
                </pic:pic>
              </a:graphicData>
            </a:graphic>
          </wp:inline>
        </w:drawing>
      </w:r>
    </w:p>
    <w:p w14:paraId="2BB87CA1"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Рис. 3.5 Власні джерела надходжень ЄС </w:t>
      </w:r>
      <w:bookmarkStart w:id="10" w:name="_ftnref35"/>
      <w:r w:rsidRPr="00D73E89">
        <w:rPr>
          <w:rFonts w:ascii="Noto Serif" w:eastAsia="Times New Roman" w:hAnsi="Noto Serif" w:cs="Noto Serif"/>
          <w:color w:val="000000"/>
          <w:kern w:val="0"/>
          <w:vertAlign w:val="superscript"/>
          <w:lang w:eastAsia="uk-UA"/>
          <w14:ligatures w14:val="none"/>
        </w:rPr>
        <w:fldChar w:fldCharType="begin"/>
      </w:r>
      <w:r w:rsidRPr="00D73E89">
        <w:rPr>
          <w:rFonts w:ascii="Noto Serif" w:eastAsia="Times New Roman" w:hAnsi="Noto Serif" w:cs="Noto Serif"/>
          <w:color w:val="000000"/>
          <w:kern w:val="0"/>
          <w:vertAlign w:val="superscript"/>
          <w:lang w:eastAsia="uk-UA"/>
          <w14:ligatures w14:val="none"/>
        </w:rPr>
        <w:instrText>HYPERLINK "http://pidruchniki.com/1584072014533/finansi/finansi_kurs_dlya_finansistiv" \o "Більш детальна інформація про бюджет ЄС: Фінанси: Курс для фінансистів [Електронний ресурс]: навч. посіб. Рекомендовано МОН / За ред. В.І. Оспіщева. — К., 2008. — 567 с. — Режим доступу : http://pidruchniki.com/1584072014533/finansi/finansi_kurs_dlya_finansistiv . — Назва з екрана."</w:instrText>
      </w:r>
      <w:r w:rsidRPr="00D73E89">
        <w:rPr>
          <w:rFonts w:ascii="Noto Serif" w:eastAsia="Times New Roman" w:hAnsi="Noto Serif" w:cs="Noto Serif"/>
          <w:color w:val="000000"/>
          <w:kern w:val="0"/>
          <w:vertAlign w:val="superscript"/>
          <w:lang w:eastAsia="uk-UA"/>
          <w14:ligatures w14:val="none"/>
        </w:rPr>
      </w:r>
      <w:r w:rsidRPr="00D73E89">
        <w:rPr>
          <w:rFonts w:ascii="Noto Serif" w:eastAsia="Times New Roman" w:hAnsi="Noto Serif" w:cs="Noto Serif"/>
          <w:color w:val="000000"/>
          <w:kern w:val="0"/>
          <w:vertAlign w:val="superscript"/>
          <w:lang w:eastAsia="uk-UA"/>
          <w14:ligatures w14:val="none"/>
        </w:rPr>
        <w:fldChar w:fldCharType="separate"/>
      </w:r>
      <w:r w:rsidRPr="00D73E89">
        <w:rPr>
          <w:rFonts w:ascii="Noto Serif" w:eastAsia="Times New Roman" w:hAnsi="Noto Serif" w:cs="Noto Serif"/>
          <w:color w:val="0000FF"/>
          <w:kern w:val="0"/>
          <w:u w:val="single"/>
          <w:vertAlign w:val="superscript"/>
          <w:lang w:eastAsia="uk-UA"/>
          <w14:ligatures w14:val="none"/>
        </w:rPr>
        <w:t>[35]</w:t>
      </w:r>
      <w:r w:rsidRPr="00D73E89">
        <w:rPr>
          <w:rFonts w:ascii="Noto Serif" w:eastAsia="Times New Roman" w:hAnsi="Noto Serif" w:cs="Noto Serif"/>
          <w:color w:val="000000"/>
          <w:kern w:val="0"/>
          <w:vertAlign w:val="superscript"/>
          <w:lang w:eastAsia="uk-UA"/>
          <w14:ligatures w14:val="none"/>
        </w:rPr>
        <w:fldChar w:fldCharType="end"/>
      </w:r>
      <w:bookmarkEnd w:id="10"/>
    </w:p>
    <w:p w14:paraId="5F91FE15" w14:textId="77777777" w:rsidR="00D73E89" w:rsidRPr="00D73E89" w:rsidRDefault="00D73E89" w:rsidP="00D73E89">
      <w:pPr>
        <w:spacing w:after="0" w:line="240" w:lineRule="auto"/>
        <w:jc w:val="center"/>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7ECD6469"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289208DB" w14:textId="77777777" w:rsidR="00D73E89" w:rsidRPr="00D73E89" w:rsidRDefault="00D73E89" w:rsidP="00D73E89">
      <w:pPr>
        <w:spacing w:after="0" w:line="240" w:lineRule="auto"/>
        <w:ind w:firstLine="480"/>
        <w:jc w:val="both"/>
        <w:rPr>
          <w:rFonts w:ascii="Noto Serif" w:eastAsia="Times New Roman" w:hAnsi="Noto Serif" w:cs="Noto Serif"/>
          <w:b/>
          <w:bCs/>
          <w:color w:val="000000"/>
          <w:kern w:val="0"/>
          <w:lang w:eastAsia="uk-UA"/>
          <w14:ligatures w14:val="none"/>
        </w:rPr>
      </w:pPr>
      <w:r w:rsidRPr="00D73E89">
        <w:rPr>
          <w:rFonts w:ascii="Noto Serif" w:eastAsia="Times New Roman" w:hAnsi="Noto Serif" w:cs="Noto Serif"/>
          <w:b/>
          <w:bCs/>
          <w:color w:val="000000"/>
          <w:kern w:val="0"/>
          <w:lang w:eastAsia="uk-UA"/>
          <w14:ligatures w14:val="none"/>
        </w:rPr>
        <w:t>ЗАПИТАННЯ ДЛЯ САМОКОНТРОЛЮ:</w:t>
      </w:r>
    </w:p>
    <w:p w14:paraId="056A8504"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Чим викликана необхідність прийняття Конституції ЄС?</w:t>
      </w:r>
    </w:p>
    <w:p w14:paraId="627D9A8E"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Із чого складаються структурні компоненти Конституції Євросоюзу?</w:t>
      </w:r>
    </w:p>
    <w:p w14:paraId="079F2AF5"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Які найголовніші здобутки Конституції?</w:t>
      </w:r>
    </w:p>
    <w:p w14:paraId="003FA5AA"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 відбувався процес ратифікації Конституційного договору?</w:t>
      </w:r>
    </w:p>
    <w:p w14:paraId="24C32820"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У чому полягає специфіка правової системи ЄС?</w:t>
      </w:r>
    </w:p>
    <w:p w14:paraId="6DE72466"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Які принципи права ЄС Ви знаєте? Яка структура, методи та риси права Співтовариства?</w:t>
      </w:r>
    </w:p>
    <w:p w14:paraId="576C3DF0"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Що відноситься до основних та допоміжних джерел права ЄС?</w:t>
      </w:r>
    </w:p>
    <w:p w14:paraId="6E90F4C7"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Що таке писані та неписані джерела права ЄС?</w:t>
      </w:r>
    </w:p>
    <w:p w14:paraId="4A0B7944"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Які базові умови захисту прав людини і основних свобод в ЄС?</w:t>
      </w:r>
    </w:p>
    <w:p w14:paraId="35381306"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Хто може подавати скаргу до Європейського суду?</w:t>
      </w:r>
    </w:p>
    <w:p w14:paraId="433EA78B"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Який порядок подання скарги до Європейського суду?</w:t>
      </w:r>
    </w:p>
    <w:p w14:paraId="55AE5B95" w14:textId="77777777" w:rsidR="00D73E89" w:rsidRPr="00D73E89" w:rsidRDefault="00D73E89" w:rsidP="00D73E89">
      <w:pPr>
        <w:numPr>
          <w:ilvl w:val="0"/>
          <w:numId w:val="1"/>
        </w:numPr>
        <w:spacing w:after="0" w:line="240" w:lineRule="auto"/>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Які Ви знаєте основні джерела бюджету Європейського Союзу?</w:t>
      </w:r>
    </w:p>
    <w:p w14:paraId="1CFC4609" w14:textId="77777777" w:rsidR="00D73E89" w:rsidRPr="00D73E89" w:rsidRDefault="00D73E89" w:rsidP="00D73E89">
      <w:pPr>
        <w:spacing w:after="0" w:line="240" w:lineRule="auto"/>
        <w:ind w:firstLine="480"/>
        <w:jc w:val="both"/>
        <w:rPr>
          <w:rFonts w:ascii="Noto Serif" w:eastAsia="Times New Roman" w:hAnsi="Noto Serif" w:cs="Noto Serif"/>
          <w:color w:val="000000"/>
          <w:kern w:val="0"/>
          <w:lang w:eastAsia="uk-UA"/>
          <w14:ligatures w14:val="none"/>
        </w:rPr>
      </w:pPr>
      <w:r w:rsidRPr="00D73E89">
        <w:rPr>
          <w:rFonts w:ascii="Noto Serif" w:eastAsia="Times New Roman" w:hAnsi="Noto Serif" w:cs="Noto Serif"/>
          <w:color w:val="000000"/>
          <w:kern w:val="0"/>
          <w:lang w:eastAsia="uk-UA"/>
          <w14:ligatures w14:val="none"/>
        </w:rPr>
        <w:t> </w:t>
      </w:r>
    </w:p>
    <w:p w14:paraId="3C9BE56D" w14:textId="77777777" w:rsidR="00D73E89" w:rsidRDefault="00D73E89"/>
    <w:sectPr w:rsidR="00D73E89" w:rsidSect="00D73E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Ubuntu Condensed">
    <w:charset w:val="00"/>
    <w:family w:val="swiss"/>
    <w:pitch w:val="variable"/>
    <w:sig w:usb0="E00002FF" w:usb1="5000205B" w:usb2="00000000" w:usb3="00000000" w:csb0="0000009F" w:csb1="00000000"/>
  </w:font>
  <w:font w:name="Noto Serif">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D13E9"/>
    <w:multiLevelType w:val="multilevel"/>
    <w:tmpl w:val="F8C4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215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E89"/>
    <w:rsid w:val="00D73E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C9024"/>
  <w15:chartTrackingRefBased/>
  <w15:docId w15:val="{B8582E6F-C091-42B5-BAA9-A57B5865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96560">
      <w:bodyDiv w:val="1"/>
      <w:marLeft w:val="0"/>
      <w:marRight w:val="0"/>
      <w:marTop w:val="0"/>
      <w:marBottom w:val="0"/>
      <w:divBdr>
        <w:top w:val="none" w:sz="0" w:space="0" w:color="auto"/>
        <w:left w:val="none" w:sz="0" w:space="0" w:color="auto"/>
        <w:bottom w:val="none" w:sz="0" w:space="0" w:color="auto"/>
        <w:right w:val="none" w:sz="0" w:space="0" w:color="auto"/>
      </w:divBdr>
      <w:divsChild>
        <w:div w:id="188641162">
          <w:marLeft w:val="0"/>
          <w:marRight w:val="0"/>
          <w:marTop w:val="0"/>
          <w:marBottom w:val="0"/>
          <w:divBdr>
            <w:top w:val="none" w:sz="0" w:space="0" w:color="auto"/>
            <w:left w:val="none" w:sz="0" w:space="0" w:color="auto"/>
            <w:bottom w:val="none" w:sz="0" w:space="0" w:color="auto"/>
            <w:right w:val="none" w:sz="0" w:space="0" w:color="auto"/>
          </w:divBdr>
        </w:div>
        <w:div w:id="792210138">
          <w:marLeft w:val="0"/>
          <w:marRight w:val="0"/>
          <w:marTop w:val="0"/>
          <w:marBottom w:val="0"/>
          <w:divBdr>
            <w:top w:val="none" w:sz="0" w:space="0" w:color="auto"/>
            <w:left w:val="none" w:sz="0" w:space="0" w:color="auto"/>
            <w:bottom w:val="none" w:sz="0" w:space="0" w:color="auto"/>
            <w:right w:val="none" w:sz="0" w:space="0" w:color="auto"/>
          </w:divBdr>
        </w:div>
        <w:div w:id="612519658">
          <w:marLeft w:val="0"/>
          <w:marRight w:val="0"/>
          <w:marTop w:val="0"/>
          <w:marBottom w:val="0"/>
          <w:divBdr>
            <w:top w:val="none" w:sz="0" w:space="0" w:color="auto"/>
            <w:left w:val="none" w:sz="0" w:space="0" w:color="auto"/>
            <w:bottom w:val="none" w:sz="0" w:space="0" w:color="auto"/>
            <w:right w:val="none" w:sz="0" w:space="0" w:color="auto"/>
          </w:divBdr>
        </w:div>
        <w:div w:id="115368091">
          <w:marLeft w:val="0"/>
          <w:marRight w:val="0"/>
          <w:marTop w:val="0"/>
          <w:marBottom w:val="0"/>
          <w:divBdr>
            <w:top w:val="none" w:sz="0" w:space="0" w:color="auto"/>
            <w:left w:val="none" w:sz="0" w:space="0" w:color="auto"/>
            <w:bottom w:val="none" w:sz="0" w:space="0" w:color="auto"/>
            <w:right w:val="none" w:sz="0" w:space="0" w:color="auto"/>
          </w:divBdr>
        </w:div>
        <w:div w:id="1012688412">
          <w:marLeft w:val="0"/>
          <w:marRight w:val="0"/>
          <w:marTop w:val="0"/>
          <w:marBottom w:val="0"/>
          <w:divBdr>
            <w:top w:val="none" w:sz="0" w:space="0" w:color="auto"/>
            <w:left w:val="none" w:sz="0" w:space="0" w:color="auto"/>
            <w:bottom w:val="none" w:sz="0" w:space="0" w:color="auto"/>
            <w:right w:val="none" w:sz="0" w:space="0" w:color="auto"/>
          </w:divBdr>
        </w:div>
        <w:div w:id="1508597071">
          <w:marLeft w:val="0"/>
          <w:marRight w:val="0"/>
          <w:marTop w:val="0"/>
          <w:marBottom w:val="0"/>
          <w:divBdr>
            <w:top w:val="none" w:sz="0" w:space="0" w:color="auto"/>
            <w:left w:val="none" w:sz="0" w:space="0" w:color="auto"/>
            <w:bottom w:val="none" w:sz="0" w:space="0" w:color="auto"/>
            <w:right w:val="none" w:sz="0" w:space="0" w:color="auto"/>
          </w:divBdr>
        </w:div>
        <w:div w:id="1095595350">
          <w:marLeft w:val="0"/>
          <w:marRight w:val="0"/>
          <w:marTop w:val="0"/>
          <w:marBottom w:val="0"/>
          <w:divBdr>
            <w:top w:val="none" w:sz="0" w:space="0" w:color="auto"/>
            <w:left w:val="none" w:sz="0" w:space="0" w:color="auto"/>
            <w:bottom w:val="none" w:sz="0" w:space="0" w:color="auto"/>
            <w:right w:val="none" w:sz="0" w:space="0" w:color="auto"/>
          </w:divBdr>
        </w:div>
        <w:div w:id="26804444">
          <w:marLeft w:val="0"/>
          <w:marRight w:val="0"/>
          <w:marTop w:val="0"/>
          <w:marBottom w:val="0"/>
          <w:divBdr>
            <w:top w:val="none" w:sz="0" w:space="0" w:color="auto"/>
            <w:left w:val="none" w:sz="0" w:space="0" w:color="auto"/>
            <w:bottom w:val="none" w:sz="0" w:space="0" w:color="auto"/>
            <w:right w:val="none" w:sz="0" w:space="0" w:color="auto"/>
          </w:divBdr>
        </w:div>
        <w:div w:id="1854998451">
          <w:marLeft w:val="0"/>
          <w:marRight w:val="0"/>
          <w:marTop w:val="0"/>
          <w:marBottom w:val="0"/>
          <w:divBdr>
            <w:top w:val="none" w:sz="0" w:space="0" w:color="auto"/>
            <w:left w:val="none" w:sz="0" w:space="0" w:color="auto"/>
            <w:bottom w:val="none" w:sz="0" w:space="0" w:color="auto"/>
            <w:right w:val="none" w:sz="0" w:space="0" w:color="auto"/>
          </w:divBdr>
        </w:div>
        <w:div w:id="1620063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commons.wikimedia.org/wiki/File:Flag_of_Portugal.svg?uselang=ru"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ru.wikipedia.org/wiki/%D0%A7%D0%B5%D1%85%D0%B8%D1%8F" TargetMode="External"/><Relationship Id="rId42" Type="http://schemas.openxmlformats.org/officeDocument/2006/relationships/image" Target="media/image13.png"/><Relationship Id="rId47" Type="http://schemas.openxmlformats.org/officeDocument/2006/relationships/image" Target="media/image18.png"/><Relationship Id="rId7" Type="http://schemas.openxmlformats.org/officeDocument/2006/relationships/hyperlink" Target="https://multimedia.posibnyky.vntu.edu.ua/mm/Ukraine-EU/txt/03.html" TargetMode="External"/><Relationship Id="rId12" Type="http://schemas.openxmlformats.org/officeDocument/2006/relationships/hyperlink" Target="https://commons.wikimedia.org/wiki/File:Flag_of_Spain.svg?uselang=ru" TargetMode="External"/><Relationship Id="rId17" Type="http://schemas.openxmlformats.org/officeDocument/2006/relationships/hyperlink" Target="https://commons.wikimedia.org/wiki/File:Flag_of_the_Netherlands.svg?uselang=ru" TargetMode="External"/><Relationship Id="rId25" Type="http://schemas.openxmlformats.org/officeDocument/2006/relationships/hyperlink" Target="https://ru.wikipedia.org/wiki/%D0%94%D0%B0%D0%BD%D0%B8%D1%8F" TargetMode="External"/><Relationship Id="rId33" Type="http://schemas.openxmlformats.org/officeDocument/2006/relationships/image" Target="media/image10.jpeg"/><Relationship Id="rId38" Type="http://schemas.openxmlformats.org/officeDocument/2006/relationships/hyperlink" Target="https://commons.wikimedia.org/wiki/File:Flag_of_Poland.svg?uselang=ru" TargetMode="Externa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ru.wikipedia.org/wiki/%D0%A4%D1%80%D0%B0%D0%BD%D1%86%D0%B8%D1%8F" TargetMode="External"/><Relationship Id="rId20" Type="http://schemas.openxmlformats.org/officeDocument/2006/relationships/hyperlink" Target="https://commons.wikimedia.org/wiki/File:Flag_of_Luxembourg.svg?uselang=ru" TargetMode="External"/><Relationship Id="rId29" Type="http://schemas.openxmlformats.org/officeDocument/2006/relationships/hyperlink" Target="https://commons.wikimedia.org/wiki/File:Flag_of_the_United_Kingdom.svg?uselang=ru" TargetMode="External"/><Relationship Id="rId41" Type="http://schemas.openxmlformats.org/officeDocument/2006/relationships/hyperlink" Target="https://ru.wikipedia.org/wiki/%D0%9B%D0%B8%D1%81%D1%81%D0%B0%D0%B1%D0%BE%D0%BD%D1%81%D0%BA%D0%B8%D0%B9_%D0%B4%D0%BE%D0%B3%D0%BE%D0%B2%D0%BE%D1%80%20." TargetMode="External"/><Relationship Id="rId1" Type="http://schemas.openxmlformats.org/officeDocument/2006/relationships/numbering" Target="numbering.xml"/><Relationship Id="rId6" Type="http://schemas.openxmlformats.org/officeDocument/2006/relationships/hyperlink" Target="https://multimedia.posibnyky.vntu.edu.ua/mm/Ukraine-EU/txt/03.html" TargetMode="Externa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commons.wikimedia.org/wiki/File:Flag_of_the_Czech_Republic.svg?uselang=ru" TargetMode="External"/><Relationship Id="rId37" Type="http://schemas.openxmlformats.org/officeDocument/2006/relationships/hyperlink" Target="https://ru.wikipedia.org/wiki/%D0%98%D1%80%D0%BB%D0%B0%D0%BD%D0%B4%D0%B8%D1%8F" TargetMode="External"/><Relationship Id="rId40" Type="http://schemas.openxmlformats.org/officeDocument/2006/relationships/hyperlink" Target="https://ru.wikipedia.org/wiki/%D0%9F%D0%BE%D0%BB%D1%8C%D1%88%D0%B0" TargetMode="External"/><Relationship Id="rId45" Type="http://schemas.openxmlformats.org/officeDocument/2006/relationships/image" Target="media/image16.png"/><Relationship Id="rId5" Type="http://schemas.openxmlformats.org/officeDocument/2006/relationships/hyperlink" Target="https://multimedia.posibnyky.vntu.edu.ua/mm/Ukraine-EU/txt/03.html" TargetMode="External"/><Relationship Id="rId15" Type="http://schemas.openxmlformats.org/officeDocument/2006/relationships/image" Target="media/image4.jpeg"/><Relationship Id="rId23" Type="http://schemas.openxmlformats.org/officeDocument/2006/relationships/hyperlink" Target="https://commons.wikimedia.org/wiki/File:Flag_of_Denmark.svg?uselang=ru" TargetMode="External"/><Relationship Id="rId28" Type="http://schemas.openxmlformats.org/officeDocument/2006/relationships/hyperlink" Target="https://ru.wikipedia.org/wiki/%D0%9F%D0%BE%D1%80%D1%82%D1%83%D0%B3%D0%B0%D0%BB%D0%B8%D1%8F"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yperlink" Target="http://old.minjust.gov.ua/6587.%20%E2%80%94%20%D0%9D%D0%B0%D0%B7%D0%B2%D0%B0%20%D0%B7%20%D0%B5%D0%BA%D1%80%D0%B0%D0%BD%D0%B0." TargetMode="External"/><Relationship Id="rId19" Type="http://schemas.openxmlformats.org/officeDocument/2006/relationships/hyperlink" Target="https://ru.wikipedia.org/wiki/%D0%9D%D0%B8%D0%B4%D0%B5%D1%80%D0%BB%D0%B0%D0%BD%D0%B4%D1%8B" TargetMode="External"/><Relationship Id="rId31" Type="http://schemas.openxmlformats.org/officeDocument/2006/relationships/hyperlink" Target="https://ru.wikipedia.org/wiki/%D0%92%D0%B5%D0%BB%D0%B8%D0%BA%D0%BE%D0%B1%D1%80%D0%B8%D1%82%D0%B0%D0%BD%D0%B8%D1%8F" TargetMode="Externa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mmons.wikimedia.org/wiki/File:Flag_of_France.svg?uselang=ru" TargetMode="External"/><Relationship Id="rId22" Type="http://schemas.openxmlformats.org/officeDocument/2006/relationships/hyperlink" Target="https://ru.wikipedia.org/wiki/%D0%9B%D1%8E%D0%BA%D1%81%D0%B5%D0%BC%D0%B1%D1%83%D1%80%D0%B3_(%D0%B3%D0%BE%D1%81%D1%83%D0%B4%D0%B0%D1%80%D1%81%D1%82%D0%B2%D0%BE)"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commons.wikimedia.org/wiki/File:Flag_of_Ireland.svg?uselang=ru" TargetMode="Externa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hyperlink" Target="https://multimedia.posibnyky.vntu.edu.ua/mm/Ukraine-EU/txt/03.html"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14371</Words>
  <Characters>8192</Characters>
  <Application>Microsoft Office Word</Application>
  <DocSecurity>0</DocSecurity>
  <Lines>68</Lines>
  <Paragraphs>45</Paragraphs>
  <ScaleCrop>false</ScaleCrop>
  <Company/>
  <LinksUpToDate>false</LinksUpToDate>
  <CharactersWithSpaces>22518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1</cp:revision>
  <dcterms:created xsi:type="dcterms:W3CDTF">2023-10-18T07:47:00Z</dcterms:created>
  <dcterms:modified xsi:type="dcterms:W3CDTF">2023-10-18T07:51:00Z</dcterms:modified>
</cp:coreProperties>
</file>