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30" w:rsidRPr="006D7A30" w:rsidRDefault="006D7A30" w:rsidP="006D7A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6D7A30">
        <w:rPr>
          <w:rFonts w:ascii="Georgia" w:eastAsia="Times New Roman" w:hAnsi="Georgia" w:cs="Times New Roman"/>
          <w:b/>
          <w:bCs/>
          <w:color w:val="222222"/>
          <w:kern w:val="36"/>
          <w:sz w:val="28"/>
          <w:szCs w:val="28"/>
          <w:lang w:eastAsia="ru-RU"/>
        </w:rPr>
        <w:t>Аналіз активів банку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діяльності банку важливим моментом є не тільки формування ресурсів,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й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ефективне їх розміщення. Тому одним з основних напрямів аналізу банківської діяльності є аналіз його активних операцій. Він має сприяти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ідвищенню ефективності управління активами банку.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Загальна сума активів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це сума всіх категорій активів за мінусом суми всіх контрактивних рахунків типу резервів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 можливі збитки від кредитної діяльності та дисконт за придбаними цінними паперами.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Якісний аналіз активів банку передбачає аналіз активів банку за ступенями ризику та розрахунок і оцінку окремих показникі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Коефіцієнтний аналіз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дає змогу оцінити стан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іквідності та платоспроможності банку, якість кредитного портфеля, надійність банку, стан розвитку ресурсної бази, прибутковість роботи банку.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Аналіз активів банку здійснюється в такій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ідовності:</w:t>
      </w:r>
    </w:p>
    <w:p w:rsidR="006D7A30" w:rsidRPr="006D7A30" w:rsidRDefault="006D7A30" w:rsidP="006D7A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вивчають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динаміку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зміни загальних активів, у тому числі окремих його статей (горизонтальний аналіз);</w:t>
      </w:r>
    </w:p>
    <w:p w:rsidR="006D7A30" w:rsidRPr="006D7A30" w:rsidRDefault="006D7A30" w:rsidP="006D7A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аналізують структуру активів банку за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ізними класифікаційними ознаками (вертикальний аналіз);</w:t>
      </w:r>
    </w:p>
    <w:p w:rsidR="006D7A30" w:rsidRPr="006D7A30" w:rsidRDefault="006D7A30" w:rsidP="006D7A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з'ясовують структуру активів за дохідністю, що характеризує ділову активність банку;</w:t>
      </w:r>
      <w:proofErr w:type="gramEnd"/>
    </w:p>
    <w:p w:rsidR="006D7A30" w:rsidRPr="006D7A30" w:rsidRDefault="006D7A30" w:rsidP="006D7A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аналізують структуру активів банку за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іквідністю та ризикованістю.</w:t>
      </w:r>
    </w:p>
    <w:p w:rsidR="006D7A30" w:rsidRPr="006D7A30" w:rsidRDefault="006D7A30" w:rsidP="006D7A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основі горизонтального аналізу активних операцій банку аналізують зміни в динаміці через порівняння даних за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ізні періоди.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іставлення даних дає змогу виявити відхилення в абсолютній сумі й у процентах за:</w:t>
      </w:r>
    </w:p>
    <w:p w:rsidR="006D7A30" w:rsidRPr="006D7A30" w:rsidRDefault="006D7A30" w:rsidP="006D7A3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основними робочими активами;</w:t>
      </w:r>
    </w:p>
    <w:p w:rsidR="006D7A30" w:rsidRPr="006D7A30" w:rsidRDefault="006D7A30" w:rsidP="006D7A3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неробочими активами;</w:t>
      </w:r>
    </w:p>
    <w:p w:rsidR="006D7A30" w:rsidRPr="006D7A30" w:rsidRDefault="006D7A30" w:rsidP="006D7A3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витратами на власні потреби;</w:t>
      </w:r>
    </w:p>
    <w:p w:rsidR="006D7A30" w:rsidRPr="006D7A30" w:rsidRDefault="006D7A30" w:rsidP="006D7A3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іммобілізованими активами та коштами.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Наведені групування активів банку дають можливість охарактеризувати якісний склад активів банку.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Вертикальний і горизонтальний аналіз активних операцій дає змогу виявити зміни у розподілі агрегованих статей балансу як у динаміці, так і у внутрішній структурі активних операцій балансу банку і визначити, за рахунок яких операцій зросла (зменшилася) прибутковість (збитковість), виявити зміни (збереження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іоритетів у банківській діяльності).</w:t>
      </w:r>
    </w:p>
    <w:p w:rsidR="006D7A30" w:rsidRPr="006D7A30" w:rsidRDefault="006D7A30" w:rsidP="006D7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Аналіз зміни загальних активів за допомогою стандартних показників динаміки передбачає розрахунок таких із них:</w:t>
      </w:r>
      <w:proofErr w:type="gramEnd"/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Абсолютний прирі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активів = Активи на кінець періоду - Активи на початок періоду.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Темп зростання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 </w:t>
      </w: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F59C82E" wp14:editId="1261704B">
            <wp:extent cx="1771650" cy="323850"/>
            <wp:effectExtent l="0" t="0" r="0" b="0"/>
            <wp:docPr id="1" name="Рисунок 1" descr="https://pidru4niki.com/imag/bank/vov_kb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idru4niki.com/imag/bank/vov_kbs/image07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Темп приросту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= </w:t>
      </w: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672B5A0" wp14:editId="09AE981D">
            <wp:extent cx="3590925" cy="323850"/>
            <wp:effectExtent l="0" t="0" r="9525" b="0"/>
            <wp:docPr id="2" name="Рисунок 2" descr="https://pidru4niki.com/imag/bank/vov_kb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idru4niki.com/imag/bank/vov_kbs/image07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ісля аналізу динаміки загальних активів проводять горизонтальний аналіз окремих статей активу балансу.</w:t>
      </w:r>
    </w:p>
    <w:p w:rsidR="006D7A30" w:rsidRPr="006D7A30" w:rsidRDefault="006D7A30" w:rsidP="000E62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Наступним етапом аналізу є структурний аналіз активів банку.</w:t>
      </w:r>
    </w:p>
    <w:p w:rsidR="006D7A30" w:rsidRPr="006D7A30" w:rsidRDefault="006D7A30" w:rsidP="000E62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досл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ідження структури розміщення банківських ресурсів застосовують метод групувань. Групування активів банку здійснюють за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ознаками:</w:t>
      </w:r>
    </w:p>
    <w:p w:rsidR="006D7A30" w:rsidRPr="006D7A30" w:rsidRDefault="006D7A30" w:rsidP="000E62B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видами операцій;</w:t>
      </w:r>
    </w:p>
    <w:p w:rsidR="006D7A30" w:rsidRPr="006D7A30" w:rsidRDefault="006D7A30" w:rsidP="000E62B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строками розміщення;</w:t>
      </w:r>
    </w:p>
    <w:p w:rsidR="006D7A30" w:rsidRPr="006D7A30" w:rsidRDefault="006D7A30" w:rsidP="000E62B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ступенем ліквідності;</w:t>
      </w:r>
    </w:p>
    <w:p w:rsidR="006D7A30" w:rsidRPr="006D7A30" w:rsidRDefault="006D7A30" w:rsidP="000E62B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ступенем ризику;</w:t>
      </w:r>
    </w:p>
    <w:p w:rsidR="006D7A30" w:rsidRPr="006D7A30" w:rsidRDefault="006D7A30" w:rsidP="000E62B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впливом на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івень дохідності банку.</w:t>
      </w:r>
    </w:p>
    <w:p w:rsidR="006D7A30" w:rsidRPr="006D7A30" w:rsidRDefault="006D7A30" w:rsidP="000E62B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видами операцій активи банку можна поділити на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п'ять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основних категорій (рис. 15.8):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6D7A30">
        <w:rPr>
          <w:rFonts w:ascii="Georgia" w:eastAsia="Times New Roman" w:hAnsi="Georgia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1B394087" wp14:editId="7E6D4585">
            <wp:extent cx="2867025" cy="1724025"/>
            <wp:effectExtent l="0" t="0" r="9525" b="9525"/>
            <wp:docPr id="3" name="Рисунок 3" descr="Основні категорії активів ба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сновні категорії активів банк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Основні категорії активів банку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строками розміщення банківських ресурсів активи балансу банку поділяють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D7A30" w:rsidRPr="006D7A30" w:rsidRDefault="006D7A30" w:rsidP="006D7A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поточні,</w:t>
      </w:r>
    </w:p>
    <w:p w:rsidR="006D7A30" w:rsidRPr="006D7A30" w:rsidRDefault="006D7A30" w:rsidP="006D7A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строкові;</w:t>
      </w:r>
    </w:p>
    <w:p w:rsidR="006D7A30" w:rsidRPr="006D7A30" w:rsidRDefault="006D7A30" w:rsidP="006D7A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квазістрокові.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Поточні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це активи на вимогу, які повертаються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першу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вимогу кредитора.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Строкові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це кошти, розміщені банком на певний строк.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Квазістрокові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кошти, які не мають визначеного строку повернення і не можуть бути повернені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першу вимогу.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Вони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повертаються тільки за певних умов.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Для визначення відхилень за статтями балансу, що впливають на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ійкість банку, проводиться групування статей активу балансу за спадним ступенем ліквідності активів.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Ліквідність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це спроможність банку швидко перетворювати свої активи в грошові кошти без втрати їх вартості з метою виконання боргових зобов'язань. При цьому за ступенем ліквідності статті активу балансу поділяють на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п'ять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основних груп (рис. 15.4):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3D22353D" wp14:editId="64612E4A">
            <wp:extent cx="4810125" cy="1524000"/>
            <wp:effectExtent l="0" t="0" r="9525" b="0"/>
            <wp:docPr id="4" name="Рисунок 4" descr="Розподіл активів за ступенем ліквід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озподіл активів за ступенем ліквідност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Рис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15.4. </w:t>
      </w:r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Розподіл активі</w:t>
      </w:r>
      <w:proofErr w:type="gramStart"/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за ступенем ліквідності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Розглянемо наведені категорії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Первинні резерви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це всі касові активи, кошти на кореспондентському рахунку в НБУ.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Вторинні резерви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або "некасові", високоліквідні дохідні активи — це цінні папери, які можуть бути оперативно реалізовані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грошовому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ринку та перетворені в грошову форму, тобто в первинні резерви з мінімальною втратою їх вартості.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Інші ліквідні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надані банком кредити та інші платежі, до погашення яких залишилося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ільш одного місяця.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Малоліквідні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позикові активи, до погашення яких залишилося більше одного місяця.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Неліквідні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капіталізовані активи, фінансові інвестиції,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тому числі фінансові вкладення в асоційовані та дочірні компанії, дебіторська заборгованість та інші іммобілізовані кошти.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Первинні та вторинні резерви формують високоліквідні активи. </w:t>
      </w: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Високоліквідні активи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— це кошти в касі, у Національному банку України та в інших банках, цінні папери, а також активи, що можуть бути швидко проконвертовані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готівкові чи безготівкові кошти.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Аналізуючи активи за ступенем ліквідності, необхідно виділити частку кожної групи активів за цією ознакою в загальних активах банку. При цьому 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особливу увагу звертають на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питому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вагу абсолютно ліквідних активів у загальних та робочих активах. Питома вага абсолютно ліквідних активів у робочих активах має бути в межах 20—25 %. Склад робочих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наведено на рис. 15.5: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F39B182" wp14:editId="635BC641">
            <wp:extent cx="3486150" cy="1828800"/>
            <wp:effectExtent l="0" t="0" r="0" b="0"/>
            <wp:docPr id="5" name="Рисунок 5" descr="Склад робочих актив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клад робочих актив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Рис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15.5. </w:t>
      </w:r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Склад робочих активі</w:t>
      </w:r>
      <w:proofErr w:type="gramStart"/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proofErr w:type="gramEnd"/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неробочих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належать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рахунки, що не приносять дохід банку. До їх складу входять:</w:t>
      </w:r>
    </w:p>
    <w:p w:rsidR="006D7A30" w:rsidRPr="006D7A30" w:rsidRDefault="006D7A30" w:rsidP="006D7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кошти в розрахунках;</w:t>
      </w:r>
    </w:p>
    <w:p w:rsidR="006D7A30" w:rsidRPr="006D7A30" w:rsidRDefault="006D7A30" w:rsidP="006D7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резерви;</w:t>
      </w:r>
    </w:p>
    <w:p w:rsidR="006D7A30" w:rsidRPr="006D7A30" w:rsidRDefault="006D7A30" w:rsidP="006D7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дебітори;</w:t>
      </w:r>
    </w:p>
    <w:p w:rsidR="006D7A30" w:rsidRPr="006D7A30" w:rsidRDefault="006D7A30" w:rsidP="006D7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кошти, вкладені у майно та господарські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матер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іали;</w:t>
      </w:r>
    </w:p>
    <w:p w:rsidR="006D7A30" w:rsidRPr="006D7A30" w:rsidRDefault="006D7A30" w:rsidP="006D7A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видатки та збитки.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 </w:t>
      </w:r>
      <w:proofErr w:type="gramStart"/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р</w:t>
      </w:r>
      <w:proofErr w:type="gramEnd"/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івнем ризику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всі активи банку поділяють на 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8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 залежно від рівня відрахувань коштів на створення резервів за ними: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 група — 0 %;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 група — 10 %;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ІІІ група — 20 %;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IV група — 30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%;</w:t>
      </w:r>
    </w:p>
    <w:p w:rsidR="006D7A30" w:rsidRPr="000E62B7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 група — 35%</w:t>
      </w:r>
    </w:p>
    <w:p w:rsidR="006D7A30" w:rsidRPr="000E62B7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група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- 50%</w:t>
      </w:r>
    </w:p>
    <w:p w:rsidR="006D7A30" w:rsidRPr="000E62B7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VII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група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- 75%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VIII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група</w:t>
      </w:r>
      <w:r w:rsidRPr="000E62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- 100%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Аналіз структури активних операцій поділяють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якісний і кількісний (коефіцієнтний).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 </w:t>
      </w: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якісного аналізу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активів і використання методу порівняння визначають пропорції між статтями балансу, тенденції їх зміни та простежують, якою мірою ці зміни та відхилення вплинули на ліквідність і прибутковість операцій банку.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Кількісний (коефіцієнтний) аналіз</w:t>
      </w:r>
      <w:r w:rsidRPr="006D7A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дає змогу оцінити в динаміці якість активів за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критеріями, як дохідність, ризикованість, ліквідність, обіговість.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Дохідність активів може бути проаналізована за допомогою </w:t>
      </w:r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коефіцієнта дохідності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дох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дох =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2D19988" wp14:editId="4DFBE227">
            <wp:extent cx="1028700" cy="314325"/>
            <wp:effectExtent l="0" t="0" r="0" b="9525"/>
            <wp:docPr id="6" name="Рисунок 6" descr="https://pidru4niki.com/imag/bank/vov_kb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idru4niki.com/imag/bank/vov_kbs/image07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Цей коефіцієнт характеризує ділову активність банку з погляду ефективності розміщення ресурсів. У міжнародній практиці вважається, що цей коефіцієнт має бути вище 93 %. Збільшення частки недохідних активі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більше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7 % може призвести банк до банкрутства. Враховуючи специфіку розвитку українських банків, середнє значення цього коефіцієнта коливається в межах 70 %.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ступенем ризикованості якість банківських активів можна проаналізувати за допомогою </w:t>
      </w:r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коефіцієнта ризикованості активів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риз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риз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 </w:t>
      </w: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31FD3A6" wp14:editId="07076D36">
            <wp:extent cx="2362200" cy="314325"/>
            <wp:effectExtent l="0" t="0" r="0" b="9525"/>
            <wp:docPr id="7" name="Рисунок 7" descr="https://pidru4niki.com/imag/bank/vov_kb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idru4niki.com/imag/bank/vov_kbs/image08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Збільшення цього коефіцієнта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ідчить про зростання ризикованості банківських активних операцій.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Аналіз якості активів з позиції ліквідності можна провести за допомогою </w:t>
      </w:r>
      <w:r w:rsidRPr="006D7A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коефіцієнта ліквідності активів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лікв. акт.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):</w:t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  <w:lang w:eastAsia="ru-RU"/>
        </w:rPr>
        <w:t>лікв. акт.</w:t>
      </w: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= </w:t>
      </w:r>
      <w:r w:rsidRPr="006D7A30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2F5654B" wp14:editId="5B3BBC52">
            <wp:extent cx="2619375" cy="314325"/>
            <wp:effectExtent l="0" t="0" r="9525" b="9525"/>
            <wp:docPr id="8" name="Рисунок 8" descr="https://pidru4niki.com/imag/bank/vov_kb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idru4niki.com/imag/bank/vov_kbs/image08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30" w:rsidRPr="006D7A30" w:rsidRDefault="006D7A30" w:rsidP="006D7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Зважуючи активи за ступенем ліквідності, необхідно відповідні активи помножити </w:t>
      </w:r>
      <w:proofErr w:type="gramStart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 w:rsidRPr="006D7A3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такі коефіцієнти ліквідності:</w:t>
      </w:r>
    </w:p>
    <w:p w:rsidR="006D7A30" w:rsidRPr="006D7A30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пролонговані кредити — на 0,3;</w:t>
      </w:r>
    </w:p>
    <w:p w:rsidR="006D7A30" w:rsidRPr="006D7A30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— 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прострочен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 та безнадійні кредити — на 0;</w:t>
      </w:r>
    </w:p>
    <w:p w:rsidR="006D7A30" w:rsidRPr="006D7A30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прострочену та безнадійну дебіторську заборгованість — на 0;</w:t>
      </w:r>
    </w:p>
    <w:p w:rsidR="006D7A30" w:rsidRPr="006D7A30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прострочену та безнадійну заборгованість за операціями з цінними паперами — на 0;</w:t>
      </w:r>
    </w:p>
    <w:p w:rsidR="006D7A30" w:rsidRPr="006D7A30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основні засоби та нематеріальні активи — на 0,5;</w:t>
      </w:r>
    </w:p>
    <w:p w:rsidR="006D7A30" w:rsidRPr="000A7CE5" w:rsidRDefault="006D7A30" w:rsidP="006D7A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— решта активі</w:t>
      </w:r>
      <w:proofErr w:type="gramStart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6D7A3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— на 1.</w:t>
      </w:r>
    </w:p>
    <w:p w:rsidR="000A7CE5" w:rsidRDefault="000A7CE5" w:rsidP="000A7CE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</w:pP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Оборотність активів є основним показником ділової активності банку. Чим швидше обертаються активи, тим більше прибутку отримає банк, а відповідно й ефективніше він працю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є.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Розрахунок коефіцієнта оборотності активів здійснюється за такою формулою:</w:t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N = Дохід банку 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пері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од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/ Середні активи</w:t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Збільшення кількості оборотів, що здійснюють активи, є позитивним явищем. Зростання цього коефіцієнта не тільки позитивно відбивається на 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ідвищенні ефективності роботи банку, а й підвищує його ліквідність та сприяє вивільненню ресурсів з обороту.</w:t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Обернений показником, що характеризує прискорення оборотності активів, є показник тривалості одного обороту активів 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днях, який розраховується за формулою:</w:t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drawing>
          <wp:inline distT="0" distB="0" distL="0" distR="0" wp14:anchorId="66952D9A" wp14:editId="0403650F">
            <wp:extent cx="3495675" cy="438150"/>
            <wp:effectExtent l="0" t="0" r="9525" b="0"/>
            <wp:docPr id="9" name="Рисунок 9" descr="https://library.if.ua/media/content/5331b242dc8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rary.if.ua/media/content/5331b242dc8a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Зменшення цього показника 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ідчить про прискорення оборот¬ності активів і вважається позитивним явищем. </w:t>
      </w:r>
      <w:proofErr w:type="gramStart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Pr="000A7CE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ісля загального аналізу оборотності активів доцільно провести аналіз оборотності окремих видів активів і оцінити їх вклад у підвищення ліквідності та прибутковості роботи банку. </w:t>
      </w:r>
    </w:p>
    <w:p w:rsid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 w:rsidRPr="00BF71A3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 w:eastAsia="ru-RU"/>
        </w:rPr>
        <w:t>Аналіз структури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Ціль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аналізу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структури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активів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полягає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виявленні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достатності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рівня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диверсифікованості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активних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операцій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оптимальності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їхньої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структури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;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попередньому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визначенні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ступеня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залежності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розвитку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зовнішньої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ситуації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різних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сегментах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ринку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банківських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послуг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продуктів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,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також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від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гальноекономічних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регіональних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 xml:space="preserve"> 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тенденцій</w:t>
      </w: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.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Диверсифікованими будуть активи банку, які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івномірно розміщені в різні напрямки. Недиверсифікованими – активи, у структурі яких яка-небудь одна із груп буде займати більше 50 %. Диверсифікованість, як інструмент зниження банківських ризиків є дуже важливою характеристикою діяльності банку, тому що тільки наявність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ізних напрямків вкладень ресурсів у структурі може вберегти банк від системних і ринкових ризиків.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Важливим у процесі проведення аналізу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івня диверсифікації активів є розрахунок коефіцієнта концентрації (КК) якій розраховується за формулою</w:t>
      </w:r>
    </w:p>
    <w:p w:rsidR="00BF71A3" w:rsidRDefault="00BF71A3" w:rsidP="00BF71A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t>КК=Аі/Азаг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lastRenderedPageBreak/>
        <w:t>Чим більша величина коефіцієнта концентрації певної групи активів, тим більш ризиковою вважається діяльність банку.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методикою Л. Ф. Сухової оптимальною вважається наступна структура активів банку [3]: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− високоліквідні активи, в числі яких – залишки кошті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 касі, всі кошти на кореспондентських рахунках – коефіцієнт концентрації близько 0,3;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− надані кредити – Кк = 0,4;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− всі вкладення в цінні папери –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б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ільше Кк = 0,10 – 0,12;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− основні кошти й нематеріальні активи – Кк = 0,17 – 0,18;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− Інші активи – Кк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б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ільше 0,02 – 0,03.</w:t>
      </w:r>
    </w:p>
    <w:p w:rsidR="00BF71A3" w:rsidRPr="00BF71A3" w:rsidRDefault="00BF71A3" w:rsidP="00BF71A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 цілому за величиною коефіцієнта концентрації можна зробити наступні висновки:</w:t>
      </w:r>
    </w:p>
    <w:p w:rsidR="00BF71A3" w:rsidRPr="00BF71A3" w:rsidRDefault="00BF71A3" w:rsidP="00BF71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Якщо в аналізованому банку спостерігається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іст коефіцієнта концентрації групи «Високоліквідні активи», то можна зробити висновок про те, що банк, до тримуючись обережної політики ведення діяльності, зберігає свою миттєву лік відність, але втрачає прибутковість операцій.</w:t>
      </w:r>
    </w:p>
    <w:p w:rsidR="00BF71A3" w:rsidRPr="00BF71A3" w:rsidRDefault="00BF71A3" w:rsidP="00BF71A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випадку, якщо спостерігається збільшення значення коефіцієнта концен трації групи «Кредити та заборгованість клієнтів», то це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ідчить про те, що, по перше, даний банк розширяє свою кредитну діяльність; по-друге, ступінь ризико ваності банківських операцій збільшується в результаті зниження диверсифіко ваності активів.</w:t>
      </w:r>
    </w:p>
    <w:p w:rsidR="00BF71A3" w:rsidRPr="00BF71A3" w:rsidRDefault="00BF71A3" w:rsidP="00BF71A3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 випадку, якщо зростає значення коефіцієнта концентрації групи «Основ ні засоби та нематеріальні активи», можна зробити висновок про те, що банк роз міщає свої кошти в низьколіквідні, недоходні активи, що, безумовно, позначить ся на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івні прибутковості його операцій. Дані вкладення в банку є непродуктив ним активом, тому їхня питома вага в загальному обсязі активу не повинна пере вищувати 20 %. Однак слід зазначити, що вкладення подібного роду банку необ хідні для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ідтримки свого іміджу на ринку. Значні вкладення такого роду пояснюються тим, що банківська послуга нематеріальна, тобто невловима за </w:t>
      </w:r>
      <w:proofErr w:type="gramStart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своєю</w:t>
      </w:r>
      <w:proofErr w:type="gramEnd"/>
      <w:r w:rsidRPr="00BF71A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 родою, і для залучення споживача дуже важливі вкладення в будинки банку, його внутрішнє й зовнішнє оформлення, у продукцію рекламного характеру й т. п.</w:t>
      </w:r>
    </w:p>
    <w:p w:rsidR="00F12EDF" w:rsidRDefault="00F12EDF" w:rsidP="00BF71A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</w:p>
    <w:p w:rsidR="00F12EDF" w:rsidRDefault="00F12EDF" w:rsidP="00BF71A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</w:p>
    <w:p w:rsidR="000E62B7" w:rsidRDefault="000E62B7" w:rsidP="00BF71A3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lastRenderedPageBreak/>
        <w:t>Таблиця 1</w:t>
      </w:r>
    </w:p>
    <w:p w:rsidR="000E62B7" w:rsidRPr="006D7A30" w:rsidRDefault="000E62B7" w:rsidP="000E62B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ru-RU"/>
        </w:rPr>
        <w:t>Розподіл активів банку за ступенем ліквідності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27"/>
        <w:gridCol w:w="1885"/>
        <w:gridCol w:w="1886"/>
        <w:gridCol w:w="1886"/>
        <w:gridCol w:w="1887"/>
      </w:tblGrid>
      <w:tr w:rsidR="000E62B7" w:rsidTr="000E62B7"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31.12.2018</w:t>
            </w:r>
          </w:p>
        </w:tc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31.12.2019</w:t>
            </w:r>
          </w:p>
        </w:tc>
        <w:tc>
          <w:tcPr>
            <w:tcW w:w="1915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31.12.2020</w:t>
            </w: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Високоліквідні активи у т.ч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 w:rsidP="000E62B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E62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-первинні резерви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E62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-вторинні резерви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ліквідні активи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Малоліквідні активи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2B7" w:rsidTr="000E62B7">
        <w:tc>
          <w:tcPr>
            <w:tcW w:w="1914" w:type="dxa"/>
          </w:tcPr>
          <w:p w:rsidR="000E62B7" w:rsidRPr="000E62B7" w:rsidRDefault="000E62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Неліквідні активи</w:t>
            </w: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E62B7" w:rsidRDefault="000E6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2B7" w:rsidRDefault="000E62B7">
      <w:pPr>
        <w:rPr>
          <w:rFonts w:ascii="Times New Roman" w:hAnsi="Times New Roman" w:cs="Times New Roman"/>
          <w:sz w:val="28"/>
          <w:szCs w:val="28"/>
        </w:rPr>
      </w:pPr>
    </w:p>
    <w:p w:rsidR="00352EB9" w:rsidRDefault="000E62B7" w:rsidP="000E62B7">
      <w:pPr>
        <w:tabs>
          <w:tab w:val="left" w:pos="97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p w:rsidR="000E62B7" w:rsidRDefault="000E62B7" w:rsidP="000E62B7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активів банку за групами ризику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1914"/>
        <w:gridCol w:w="1914"/>
        <w:gridCol w:w="1915"/>
      </w:tblGrid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735" w:type="dxa"/>
          </w:tcPr>
          <w:p w:rsidR="000E62B7" w:rsidRPr="000E62B7" w:rsidRDefault="000E62B7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914" w:type="dxa"/>
          </w:tcPr>
          <w:p w:rsidR="000E62B7" w:rsidRPr="000E62B7" w:rsidRDefault="000E62B7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31.12.2018</w:t>
            </w:r>
          </w:p>
        </w:tc>
        <w:tc>
          <w:tcPr>
            <w:tcW w:w="1914" w:type="dxa"/>
          </w:tcPr>
          <w:p w:rsidR="000E62B7" w:rsidRPr="000E62B7" w:rsidRDefault="000E62B7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31.12.2019</w:t>
            </w:r>
          </w:p>
        </w:tc>
        <w:tc>
          <w:tcPr>
            <w:tcW w:w="1915" w:type="dxa"/>
          </w:tcPr>
          <w:p w:rsidR="000E62B7" w:rsidRPr="000E62B7" w:rsidRDefault="000E62B7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31.12.2020</w:t>
            </w: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1група – 0%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група – 10%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A7CE5" w:rsidRDefault="000A7CE5" w:rsidP="000A7CE5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група – 20%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група – 30%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група – 35%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група – 50%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E62B7" w:rsidTr="000A7CE5">
        <w:tc>
          <w:tcPr>
            <w:tcW w:w="2093" w:type="dxa"/>
          </w:tcPr>
          <w:p w:rsidR="000E62B7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група – 75%</w:t>
            </w:r>
          </w:p>
        </w:tc>
        <w:tc>
          <w:tcPr>
            <w:tcW w:w="173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E62B7" w:rsidRDefault="000E62B7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7CE5" w:rsidTr="000A7CE5">
        <w:tc>
          <w:tcPr>
            <w:tcW w:w="2093" w:type="dxa"/>
          </w:tcPr>
          <w:p w:rsidR="000A7CE5" w:rsidRDefault="000A7CE5" w:rsidP="000A7CE5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група – 100%</w:t>
            </w:r>
          </w:p>
        </w:tc>
        <w:tc>
          <w:tcPr>
            <w:tcW w:w="1735" w:type="dxa"/>
          </w:tcPr>
          <w:p w:rsidR="000A7CE5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E62B7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12EDF" w:rsidRDefault="00F12EDF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E62B7" w:rsidRDefault="000A7CE5" w:rsidP="000A7CE5">
      <w:pPr>
        <w:tabs>
          <w:tab w:val="left" w:pos="2400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Таблиця 3</w:t>
      </w:r>
    </w:p>
    <w:p w:rsidR="000A7CE5" w:rsidRDefault="000A7CE5" w:rsidP="000A7CE5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Коефіцієнтний аналіз якості активів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593"/>
        <w:gridCol w:w="1914"/>
        <w:gridCol w:w="1914"/>
        <w:gridCol w:w="1915"/>
      </w:tblGrid>
      <w:tr w:rsidR="000A7CE5" w:rsidTr="000A7CE5">
        <w:tc>
          <w:tcPr>
            <w:tcW w:w="223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</w:tcPr>
          <w:p w:rsidR="000A7CE5" w:rsidRPr="000E62B7" w:rsidRDefault="000A7CE5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01.01.2018</w:t>
            </w:r>
          </w:p>
        </w:tc>
        <w:tc>
          <w:tcPr>
            <w:tcW w:w="1914" w:type="dxa"/>
          </w:tcPr>
          <w:p w:rsidR="000A7CE5" w:rsidRPr="000E62B7" w:rsidRDefault="000A7CE5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31.12.2018</w:t>
            </w:r>
          </w:p>
        </w:tc>
        <w:tc>
          <w:tcPr>
            <w:tcW w:w="1914" w:type="dxa"/>
          </w:tcPr>
          <w:p w:rsidR="000A7CE5" w:rsidRPr="000E62B7" w:rsidRDefault="000A7CE5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31.12.2019</w:t>
            </w:r>
          </w:p>
        </w:tc>
        <w:tc>
          <w:tcPr>
            <w:tcW w:w="1915" w:type="dxa"/>
          </w:tcPr>
          <w:p w:rsidR="000A7CE5" w:rsidRPr="000E62B7" w:rsidRDefault="000A7CE5" w:rsidP="004B5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31.12.2020</w:t>
            </w:r>
          </w:p>
        </w:tc>
      </w:tr>
      <w:tr w:rsidR="000A7CE5" w:rsidTr="000A7CE5">
        <w:tc>
          <w:tcPr>
            <w:tcW w:w="223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дохідності</w:t>
            </w:r>
          </w:p>
        </w:tc>
        <w:tc>
          <w:tcPr>
            <w:tcW w:w="1593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7CE5" w:rsidTr="000A7CE5">
        <w:tc>
          <w:tcPr>
            <w:tcW w:w="223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ризикованості</w:t>
            </w:r>
          </w:p>
        </w:tc>
        <w:tc>
          <w:tcPr>
            <w:tcW w:w="1593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7CE5" w:rsidTr="000A7CE5">
        <w:tc>
          <w:tcPr>
            <w:tcW w:w="223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ліквідності активів</w:t>
            </w:r>
          </w:p>
        </w:tc>
        <w:tc>
          <w:tcPr>
            <w:tcW w:w="1593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7CE5" w:rsidTr="000A7CE5">
        <w:tc>
          <w:tcPr>
            <w:tcW w:w="2235" w:type="dxa"/>
          </w:tcPr>
          <w:p w:rsidR="000A7CE5" w:rsidRP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Оборотність активів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593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7CE5" w:rsidTr="000A7CE5">
        <w:tc>
          <w:tcPr>
            <w:tcW w:w="2235" w:type="dxa"/>
          </w:tcPr>
          <w:p w:rsidR="000A7CE5" w:rsidRP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Тривалість одного обороту активів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593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0A7CE5" w:rsidRDefault="000A7CE5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71A3" w:rsidTr="000A7CE5">
        <w:tc>
          <w:tcPr>
            <w:tcW w:w="2235" w:type="dxa"/>
          </w:tcPr>
          <w:p w:rsidR="00BF71A3" w:rsidRDefault="00BF71A3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 концентрації</w:t>
            </w:r>
          </w:p>
        </w:tc>
        <w:tc>
          <w:tcPr>
            <w:tcW w:w="1593" w:type="dxa"/>
          </w:tcPr>
          <w:p w:rsidR="00BF71A3" w:rsidRDefault="00BF71A3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BF71A3" w:rsidRDefault="00BF71A3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BF71A3" w:rsidRDefault="00BF71A3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</w:tcPr>
          <w:p w:rsidR="00BF71A3" w:rsidRDefault="00BF71A3" w:rsidP="000A7CE5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A7CE5" w:rsidRPr="000A7CE5" w:rsidRDefault="000A7CE5" w:rsidP="000A7CE5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CE5" w:rsidRPr="000A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43B"/>
    <w:multiLevelType w:val="multilevel"/>
    <w:tmpl w:val="4A28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5486B"/>
    <w:multiLevelType w:val="multilevel"/>
    <w:tmpl w:val="093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00499"/>
    <w:multiLevelType w:val="multilevel"/>
    <w:tmpl w:val="277C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C2361"/>
    <w:multiLevelType w:val="multilevel"/>
    <w:tmpl w:val="E0C8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77A7D"/>
    <w:multiLevelType w:val="multilevel"/>
    <w:tmpl w:val="A906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4764B"/>
    <w:multiLevelType w:val="multilevel"/>
    <w:tmpl w:val="D03C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C2A02"/>
    <w:multiLevelType w:val="multilevel"/>
    <w:tmpl w:val="AE3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20"/>
    <w:rsid w:val="000A7CE5"/>
    <w:rsid w:val="000E62B7"/>
    <w:rsid w:val="00352EB9"/>
    <w:rsid w:val="00624720"/>
    <w:rsid w:val="006D7A30"/>
    <w:rsid w:val="00BF71A3"/>
    <w:rsid w:val="00F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6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dcterms:created xsi:type="dcterms:W3CDTF">2020-11-16T07:49:00Z</dcterms:created>
  <dcterms:modified xsi:type="dcterms:W3CDTF">2020-11-16T07:49:00Z</dcterms:modified>
</cp:coreProperties>
</file>