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74C14" w14:textId="73C75BC2" w:rsidR="00512E14" w:rsidRDefault="003801CE" w:rsidP="00774B4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74B49">
        <w:rPr>
          <w:rFonts w:ascii="Times New Roman" w:hAnsi="Times New Roman" w:cs="Times New Roman"/>
        </w:rPr>
        <w:t>Скласти таблицю заходів процесуального примусу ( з роз’ясненням кожного примусу</w:t>
      </w:r>
      <w:r w:rsidR="00774B49">
        <w:rPr>
          <w:rFonts w:ascii="Times New Roman" w:hAnsi="Times New Roman" w:cs="Times New Roman"/>
        </w:rPr>
        <w:t xml:space="preserve"> та наслідками його застосування</w:t>
      </w:r>
      <w:r w:rsidRPr="00774B49">
        <w:rPr>
          <w:rFonts w:ascii="Times New Roman" w:hAnsi="Times New Roman" w:cs="Times New Roman"/>
        </w:rPr>
        <w:t>).</w:t>
      </w:r>
    </w:p>
    <w:p w14:paraId="5ED84C7F" w14:textId="21D0C94A" w:rsidR="00774B49" w:rsidRDefault="00774B49" w:rsidP="00774B4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Перерахувати види юрисдикції та розкрити кожен з них.</w:t>
      </w:r>
    </w:p>
    <w:p w14:paraId="61C6DCD8" w14:textId="23F89350" w:rsidR="00774B49" w:rsidRPr="00774B49" w:rsidRDefault="00774B49" w:rsidP="00774B4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Перерахувати всі види доказів та дати ознаки і визначення.</w:t>
      </w:r>
      <w:bookmarkStart w:id="0" w:name="_GoBack"/>
      <w:bookmarkEnd w:id="0"/>
    </w:p>
    <w:p w14:paraId="3DDE75F1" w14:textId="77777777" w:rsidR="003801CE" w:rsidRDefault="003801CE"/>
    <w:sectPr w:rsidR="003801CE" w:rsidSect="00BB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E7799"/>
    <w:multiLevelType w:val="hybridMultilevel"/>
    <w:tmpl w:val="5D6A29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AE"/>
    <w:rsid w:val="000D3EAE"/>
    <w:rsid w:val="003801CE"/>
    <w:rsid w:val="00512E14"/>
    <w:rsid w:val="00774B49"/>
    <w:rsid w:val="00BB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D027"/>
  <w15:chartTrackingRefBased/>
  <w15:docId w15:val="{2B457FF9-BC8D-484D-B410-2C227879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2023-11-24T06:56:00Z</dcterms:created>
  <dcterms:modified xsi:type="dcterms:W3CDTF">2023-11-24T06:59:00Z</dcterms:modified>
</cp:coreProperties>
</file>