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E95A" w14:textId="153E43E6" w:rsidR="00835E0B" w:rsidRDefault="006354E9">
      <w:r>
        <w:fldChar w:fldCharType="begin" w:fldLock="1"/>
      </w:r>
      <w:r>
        <w:instrText>ADDIN CSL_CITATION {"citationItems":[{"id":"ITEM-1","itemData":{"DOI":"10.1038/d41586-018-02404-4","ISSN":"0028-0836","author":[{"dropping-particle":"","family":"Gewin","given":"Virginia","non-dropping-particle":"","parse-names":false,"suffix":""}],"container-title":"Nature","id":"ITEM-1","issue":"7694","issued":{"date-parts":[["2018","3","28"]]},"page":"129-130","title":"How to write a first-class paper","type":"article-journal","volume":"555"},"uris":["http://www.mendeley.com/documents/?uuid=73724a51-efa6-4b87-90ab-3b020a06309c"]},{"id":"ITEM-2","itemData":{"DOI":"10.1016/j.tree.2017.06.011","ISSN":"01695347","author":[{"dropping-particle":"","family":"Doubleday","given":"Zoë A.","non-dropping-particle":"","parse-names":false,"suffix":""},{"dropping-particle":"","family":"Connell","given":"Sean D.","non-dropping-particle":"","parse-names":false,"suffix":""}],"container-title":"Trends in Ecology &amp; Evolution","id":"ITEM-2","issue":"11","issued":{"date-parts":[["2017","11"]]},"page":"803-805","title":"Publishing with Objective Charisma: Breaking Science’s Paradox","type":"article-journal","volume":"32"},"uris":["http://www.mendeley.com/documents/?uuid=fd3651ae-ee5d-4e10-90e3-6ed2ea832ac6"]},{"id":"ITEM-3","itemData":{"DOI":"10.4103/0019-5545.82558","ISSN":"0019-5545","author":[{"dropping-particle":"","family":"Andrade","given":"Chittaranjan","non-dropping-particle":"","parse-names":false,"suffix":""}],"container-title":"Indian Journal of Psychiatry","id":"ITEM-3","issue":"2","issued":{"date-parts":[["2011"]]},"page":"172","title":"How to write a good abstract for a scientific paper or conference presentation","type":"article-journal","volume":"53"},"uris":["http://www.mendeley.com/documents/?uuid=686adce6-671a-4167-ac80-a77fa694c896"]},{"id":"ITEM-4","itemData":{"DOI":"10.15407/akademperiodyka.321.031","author":[{"dropping-particle":"","family":"Tykhonkova","given":"I.O.","non-dropping-particle":"","parse-names":false,"suffix":""}],"id":"ITEM-4","issued":{"date-parts":[["2016","10","24"]]},"page":"31-39","title":"Ukrainian journals in the Web of Science","type":"chapter"},"uris":["http://www.mendeley.com/documents/?uuid=b4f75c71-1a4b-470b-81e0-c4e4a1ed212a"]},{"id":"ITEM-5","itemData":{"DOI":"10.1002/nop2.78","ISSN":"20541058","author":[{"dropping-particle":"","family":"Watson","given":"Roger","non-dropping-particle":"","parse-names":false,"suffix":""}],"container-title":"Nursing Open","id":"ITEM-5","issue":"2","issued":{"date-parts":[["2017","4"]]},"page":"60-60","title":"Beall's list of predatory open access journals: RIP","type":"article-journal","volume":"4"},"uris":["http://www.mendeley.com/documents/?uuid=f1b98868-7fb6-4dfc-adeb-babd5bf60399"]},{"id":"ITEM-6","itemData":{"author":[{"dropping-particle":"","family":"Вернигора","given":"Н.М.","non-dropping-particle":"","parse-names":false,"suffix":""}],"container-title":"Інтегровані комунікації","id":"ITEM-6","issued":{"date-parts":[["2016"]]},"page":"46-52","title":"Жанри наукової періодики (методичні рекомендації щодо формування структури і рубрикації текстів)","type":"article-journal","volume":"2"},"uris":["http://www.mendeley.com/documents/?uuid=a5700b0c-0d29-4d8b-b214-47dfc40d518f"]},{"id":"ITEM-7","itemData":{"DOI":"10.1016/j.ijpara.2023.06.004","ISSN":"00207519","author":[{"dropping-particle":"","family":"Morrill","given":"A.","non-dropping-particle":"","parse-names":false,"suffix":""},{"dropping-particle":"","family":"Poulin","given":"R.","non-dropping-particle":"","parse-names":false,"suffix":""},{"dropping-particle":"","family":"Forbes","given":"M.R.","non-dropping-particle":"","parse-names":false,"suffix":""}],"container-title":"International Journal for Parasitology","id":"ITEM-7","issued":{"date-parts":[["2023","7"]]},"title":"Interrelationships and properties of parasite aggregation measures: a user’s guide","type":"article-journal"},"uris":["http://www.mendeley.com/documents/?uuid=c91aa4cb-3902-4356-b76f-d24bbc59edd4"]},{"id":"ITEM-8","itemData":{"ISSN":"0736-6205","PMID":"1867860","abstract":"Procedures utilizing Chelex 100 chelating resin have been developed for extracting DNA from forensic-type samples for use with the PCR. The procedures are simple, rapid, involve no organic solvents and do not require multiple tube transfers for most types of samples. The extraction of DNA from semen and very small bloodstains using Chelex 100 is as efficient or more efficient than using proteinase K and phenol-chloroform extraction. DNA extracted from bloodstains seems less prone to contain PCR inhibitors when prepared by this method. The Chelex method has been used with amplification and typing at the HLA DQ alpha locus to obtain the DQ alpha genotypes of many different types of samples, including whole blood, bloodstains, seminal stains, buccal swabs, hair and post-coital samples. The results of a concordance study are presented in which the DQ alpha genotypes of 84 samples prepared using Chelex or using conventional phenol-chloroform extraction are compared. The genotypes obtained using the two different extraction methods were identical for all samples tested.","author":[{"dropping-particle":"","family":"Walsh","given":"P S","non-dropping-particle":"","parse-names":false,"suffix":""},{"dropping-particle":"","family":"Metzger","given":"D A","non-dropping-particle":"","parse-names":false,"suffix":""},{"dropping-particle":"","family":"Higuchi","given":"R","non-dropping-particle":"","parse-names":false,"suffix":""}],"container-title":"BioTechniques","id":"ITEM-8","issue":"4","issued":{"date-parts":[["1991","4"]]},"page":"506-13","title":"Chelex 100 as a medium for simple extraction of DNA for PCR-based typing from forensic material.","type":"article-journal","volume":"10"},"uris":["http://www.mendeley.com/documents/?uuid=c1ea5b1d-a471-4f0d-b510-7fcbb2d2227a"]},{"id":"ITEM-9","itemData":{"DOI":"10.1111/ele.14329","ISSN":"1461-023X","abstract":"The enemy release hypothesis (ERH) is the best‐known hypothesis explaining high performance (e.g. rapid population growth) of exotic species. However, the current framing of the ERH does not explicitly link evidence of enemy release with exotic performance. This leads to uncertainty regarding the role of enemy release in biological invasions. Here, we demonstrate that the effect of enemy release on exotic performance is the product of three factors: enemy impact, enemy diversity, and host adaptation. These factors are modulated by seven contexts: time since introduction, resource availability, phylogenetic relatedness of exotic and native species, host–enemy asynchronicity, number of introduction events, type of enemy, and strength of growth–defence trade‐offs. ERH‐focused studies frequently test different factors under different contexts. This can lead to inconsistent findings, which typifies current evidence for the ERH. For example, over 80% of meta‐analyses fail to consider ecological contexts which can alter study findings; we demonstrate this by re‐analysing a recent ERH synthesis. Structuring the ERH around factors and contexts promotes generalisable predictions about when and where exotic species may benefit from enemy release, empowering effective management. Our mechanistic factor–context framework clearly lays out the evidence required to support the ERH, unifies many enemy‐related invasion hypotheses, and enhances predictive capacity.","author":[{"dropping-particle":"","family":"Brian","given":"J. I.","non-dropping-particle":"","parse-names":false,"suffix":""},{"dropping-particle":"","family":"Catford","given":"J. A.","non-dropping-particle":"","parse-names":false,"suffix":""}],"container-title":"Ecology Letters","id":"ITEM-9","issue":"12","issued":{"date-parts":[["2023","12","3"]]},"page":"2147-2166","title":"A mechanistic framework of enemy release","type":"article-journal","volume":"26"},"uris":["http://www.mendeley.com/documents/?uuid=5eeeea89-436b-4f43-980b-43ee483c8e19"]},{"id":"ITEM-10","itemData":{"DOI":"10.3354/dao049061","ISSN":"0177-5103","author":[{"dropping-particle":"","family":"Gruebl","given":"T","non-dropping-particle":"","parse-names":false,"suffix":""},{"dropping-particle":"","family":"Frischer","given":"ME","non-dropping-particle":"","parse-names":false,"suffix":""},{"dropping-particle":"","family":"Sheppard","given":"M","non-dropping-particle":"","parse-names":false,"suffix":""},{"dropping-particle":"","family":"Neumann","given":"M","non-dropping-particle":"","parse-names":false,"suffix":""},{"dropping-particle":"","family":"Maurer","given":"AN","non-dropping-particle":"","parse-names":false,"suffix":""},{"dropping-particle":"","family":"Lee","given":"RF","non-dropping-particle":"","parse-names":false,"suffix":""}],"container-title":"Diseases of Aquatic Organisms","id":"ITEM-10","issued":{"date-parts":[["2002"]]},"page":"61-70","title":"Development of an 18S rRNA gene targeted PCR based diagnostic for the blue crab parasite Hematodinium sp.","type":"article-journal","volume":"49"},"uris":["http://www.mendeley.com/documents/?uuid=31c76311-8ccf-43f9-af65-f482bb13bc53"]},{"id":"ITEM-11","itemData":{"DOI":"10.1016/j.pt.2019.01.003","ISSN":"14714922","author":[{"dropping-particle":"","family":"Reiczigel","given":"Jenő","non-dropping-particle":"","parse-names":false,"suffix":""},{"dropping-particle":"","family":"Marozzi","given":"Marco","non-dropping-particle":"","parse-names":false,"suffix":""},{"dropping-particle":"","family":"Fábián","given":"Ibolya","non-dropping-particle":"","parse-names":false,"suffix":""},{"dropping-particle":"","family":"Rózsa","given":"Lajos","non-dropping-particle":"","parse-names":false,"suffix":""}],"container-title":"Trends in Parasitology","id":"ITEM-11","issue":"4","issued":{"date-parts":[["2019","4"]]},"page":"277-281","title":"Biostatistics for parasitologists – a primer to quantitative parasitology","type":"article-journal","volume":"35"},"uris":["http://www.mendeley.com/documents/?uuid=b8503299-f42e-4e1a-a45d-f91c404f0ffc"]},{"id":"ITEM-12","itemData":{"author":[{"dropping-particle":"","family":"Buntin","given":"G.D.","non-dropping-particle":"","parse-names":false,"suffix":""}],"container-title":"Handbook of sampling methods for arthropods in agriculture","editor":[{"dropping-particle":"","family":"Pedigo","given":"L. P.","non-dropping-particle":"","parse-names":false,"suffix":""},{"dropping-particle":"","family":"Buntin","given":"G. D.","non-dropping-particle":"","parse-names":false,"suffix":""}],"id":"ITEM-12","issued":{"date-parts":[["1994"]]},"page":"99-115","publisher":"CRC Press","publisher-place":"Boca Ratón, Florida","title":"Developing a primary sampling program","type":"chapter"},"uris":["http://www.mendeley.com/documents/?uuid=e1476b71-d474-4b1e-b25e-ade603ecc272"]},{"id":"ITEM-13","itemData":{"DOI":"10.1614/IPSM-D-11-00007.1","ISSN":"1939-7291","abstract":"The negative effect of invasive species on native species, communities, and ecosystems is widely recognized, and the economic effects in the United States are estimated to be billions of dollars annually. Studies often examine traits of nonnative species or examine what makes a particular habitat invasible. To better understand the factors governing invasions, we used the flora of Nebraska to characterize and compare native and nonnative plant occurrences throughout the state. In addition, we assessed four critical landscape predictors of nonnative plant richness: human population size and three land cover attributes that included percentage of grassland, percentage of agriculture, and percentage of public lands. Results indicated that individual plant species richness has increased by about 35% through invasions (primarily of annuals from the family Poaceae). In addition, human population density, percentage of agriculture, and percentage of public lands all show a positive association with nonnative plant richness. Successful plant invasions may change the composition of species communities, basic ecological functions, and the delivery of ecosystem services. Thus, identifying the factors that influence such variation in distribution patterns can be fundamental to recognizing the present and potential future extent of nonnative plant infestations and, in turn, developing appropriate management programs.","author":[{"dropping-particle":"","family":"Decker","given":"Karie L.","non-dropping-particle":"","parse-names":false,"suffix":""},{"dropping-particle":"","family":"Allen","given":"Craig R.","non-dropping-particle":"","parse-names":false,"suffix":""},{"dropping-particle":"","family":"Acosta","given":"Leonardo","non-dropping-particle":"","parse-names":false,"suffix":""},{"dropping-particle":"","family":"Hellman","given":"Michelle L.","non-dropping-particle":"","parse-names":false,"suffix":""},{"dropping-particle":"","family":"Jorgensen","given":"Christopher F.","non-dropping-particle":"","parse-names":false,"suffix":""},{"dropping-particle":"","family":"Stutzman","given":"Ryan J.","non-dropping-particle":"","parse-names":false,"suffix":""},{"dropping-particle":"","family":"Unstad","given":"Kody M.","non-dropping-particle":"","parse-names":false,"suffix":""},{"dropping-particle":"","family":"Williams","given":"Amy","non-dropping-particle":"","parse-names":false,"suffix":""},{"dropping-particle":"","family":"Yans","given":"Matthew","non-dropping-particle":"","parse-names":false,"suffix":""}],"container-title":"Invasive Plant Science and Management","id":"ITEM-13","issue":"1","issued":{"date-parts":[["2012","3","20"]]},"page":"108-116","title":"Land Use, Landscapes, and Biological Invasions","type":"article-journal","volume":"5"},"uris":["http://www.mendeley.com/documents/?uuid=0deabb63-30f5-4156-8f62-4dd81ded596e"]},{"id":"ITEM-14","itemData":{"author":[{"dropping-particle":"","family":"Pedigo","given":"L.P.","non-dropping-particle":"","parse-names":false,"suffix":""},{"dropping-particle":"","family":"Buntin","given":"G.D.","non-dropping-particle":"","parse-names":false,"suffix":""}],"id":"ITEM-14","issued":{"date-parts":[["1994"]]},"number-of-pages":"416","publisher":"CRC Press","publisher-place":"Boca Raton, Florida","title":"Handbook of Sampling Methods for Arthropods in Agriculture","type":"book"},"uris":["http://www.mendeley.com/documents/?uuid=fa90aea6-1ca1-42fa-86c4-5ed8380ba104"]},{"id":"ITEM-15","itemData":{"DOI":"10.1038/s41598-021-87806-7","ISSN":"2045-2322","abstract":"Unveiling the processes driving exotic plant invasion represent a central issue in taking decisions aimed at constraining the loss of biodiversity and related ecosystem services. The invasion success is often linked to anthropogenic land uses and warming due to climate change. We studied the responses of native versus casual and naturalised exotic species richness to land uses and climate at the landscape level, relying on a large floristic survey undertaken in North - Eastern Italy. Both climate and land use drove exotic species richness. Our results suggest that the success of plant invasion at this scale is mainly due to warm climatic conditions and the extent of urban and agricultural land, but with different effects on casual and naturalized exotic species. The occurrence of non-linear trends showed that a small percentage of extensive agricultural land in the landscape may concurrently reduce the number of exotic plant while sustaining native plant diversity. Plant invasion could be potentially limited by land management, mainly focusing on areas with extensive agricultural land use. A more conscientious land management is more and more commonly required by local administrations. According to our results, a shift of intensive to extensive agricultural land, by implementing green infrastructures, seems to be a win–win solution favouring native species while controlling the oversimplification of the flora due to plant invasion.","author":[{"dropping-particle":"","family":"Pellegrini","given":"E.","non-dropping-particle":"","parse-names":false,"suffix":""},{"dropping-particle":"","family":"Buccheri","given":"M.","non-dropping-particle":"","parse-names":false,"suffix":""},{"dropping-particle":"","family":"Martini","given":"F.","non-dropping-particle":"","parse-names":false,"suffix":""},{"dropping-particle":"","family":"Boscutti","given":"F.","non-dropping-particle":"","parse-names":false,"suffix":""}],"container-title":"Scientific Reports","id":"ITEM-15","issue":"1","issued":{"date-parts":[["2021","4","16"]]},"page":"8385","title":"Agricultural land use curbs exotic invasion but sustains native plant diversity at intermediate levels","type":"article-journal","volume":"11"},"uris":["http://www.mendeley.com/documents/?uuid=1cb1cd71-4e5c-4263-a502-4a3182a33d8a"]},{"id":"ITEM-16","itemData":{"author":[{"dropping-particle":"","family":"Shvydka","given":"S.","non-dropping-particle":"","parse-names":false,"suffix":""},{"dropping-particle":"","family":"Sarabeev","given":"V.","non-dropping-particle":"","parse-names":false,"suffix":""},{"dropping-particle":"","family":"Ovcharenko","given":"M.","non-dropping-particle":"","parse-names":false,"suffix":""},{"dropping-particle":"","family":"Zdimalova","given":"M.","non-dropping-particle":"","parse-names":false,"suffix":""}],"container-title":"25th International Conference on Computational Statistics (Birkbeck, University of London, UK, 22-25 August 2023)","id":"ITEM-16","issued":{"date-parts":[["2023"]]},"page":"A0267","title":"Modelling symbiotic species richness from invertebrate aquatic hosts using generalized linear and additive models","type":"paper-conference"},"uris":["http://www.mendeley.com/documents/?uuid=0d35254e-7ffd-4f65-a38a-a07f72a80821"]}],"mendeley":{"formattedCitation":"&lt;sup&gt;1–16&lt;/sup&gt;","plainTextFormattedCitation":"1–16","previouslyFormattedCitation":"&lt;sup&gt;1,2,11–16,3–10&lt;/sup&gt;"},"properties":{"noteIndex":0},"schema":"https://github.com/citation-style-language/schema/raw/master/csl-citation.json"}</w:instrText>
      </w:r>
      <w:r>
        <w:fldChar w:fldCharType="separate"/>
      </w:r>
      <w:r w:rsidRPr="006354E9">
        <w:rPr>
          <w:noProof/>
          <w:vertAlign w:val="superscript"/>
        </w:rPr>
        <w:t>1–16</w:t>
      </w:r>
      <w:r>
        <w:fldChar w:fldCharType="end"/>
      </w:r>
      <w:r>
        <w:t xml:space="preserve"> </w:t>
      </w:r>
      <w:r>
        <w:fldChar w:fldCharType="begin" w:fldLock="1"/>
      </w:r>
      <w:r>
        <w:instrText>ADDIN CSL_CITATION {"citationItems":[{"id":"ITEM-1","itemData":{"DOI":"10.1111/1365-2664.13552","ISSN":"0021-8901","abstract":"The control of invasive species is a central topic of both applied and theoretical research. Understanding how and which ecological theories can be used to improve invasion resistance of plant communities is essential, to design effective control strategies. The theory of limiting similarity, stating that coexistence between species is more limited by competitive exclusion when species share niche properties, is often considered by applied ecologists as a possible approach to limiting plant invasions at the local scale. The complexity of measuring ecological niche overlap between species as well as the difficulty of disentangling niche from fitness processes currently limit the demonstration and application of this theory. Limiting similarity appears to operate at a time‐scale that is too long for efficient impact on invasive species' early establishment. It may also be ineffective against invasions in the long term, due to environmental changes and community instability. Finally, limiting similarity is not applicable to the most common situations, where there are multiple co‐occurring invasive species or no prior identification of potential invasives. Synthesis and applications . Whether the theory of limiting similarity, predicting competitive exclusion when species display niche similarities, can be successfully applied to limit plant invasions—or not—is an important issue for practitioners facing invasive species. In practice, using limiting similarity to design invasion‐resistant plant communities appears to be complex, ineffective and unsuitable for most common situations.","author":[{"dropping-particle":"","family":"Hess","given":"Manon C. M.","non-dropping-particle":"","parse-names":false,"suffix":""},{"dropping-particle":"","family":"Buisson","given":"Elise","non-dropping-particle":"","parse-names":false,"suffix":""},{"dropping-particle":"","family":"Jaunatre","given":"Renaud","non-dropping-particle":"","parse-names":false,"suffix":""},{"dropping-particle":"","family":"Mesléard","given":"François","non-dropping-particle":"","parse-names":false,"suffix":""}],"container-title":"Journal of Applied Ecology","editor":[{"dropping-particle":"","family":"Singh","given":"Inderjit","non-dropping-particle":"","parse-names":false,"suffix":""}],"id":"ITEM-1","issue":"3","issued":{"date-parts":[["2020","3","20"]]},"page":"559-565","title":"Using limiting similarity to enhance invasion resistance: Theoretical and practical concerns","type":"article-journal","volume":"57"},"uris":["http://www.mendeley.com/documents/?uuid=7610fa84-9db5-4a8f-9a5f-5333d27ffb48"]},{"id":"ITEM-2","itemData":{"DOI":"10.1111/csp2.553","ISSN":"2578-4854","abstract":"Some critics of invasion biology have argued the invasion of ecosystems by nonindigenous species can create more valuable ecosystems. They consider invaded communities as more valuable because they potentially produce more ecosystem services. To establish that the introduction of nonindigenous species creates more valuable ecosystems, they defend that value is provisioned by ecosystem services. These services are derived from ecosystem productivity, the production and cycling of resources. Ecosystem productivity is a result of biodiversity, which is understood as local species richness. Invasive species increase local species richness and, therefore, increase the conservation value of local ecosystems. These views are disseminating to the public via a series of popular science books. Conservationists must respond to these views, and I outline a method of rejecting such arguments against controlling invasive species. Ecological systems are valuable for more than local productivity and biodiversity is not accurately described by a local species count.","author":[{"dropping-particle":"","family":"Lean","given":"Christopher Hunter","non-dropping-particle":"","parse-names":false,"suffix":""}],"container-title":"Conservation Science and Practice","id":"ITEM-2","issue":"12","issued":{"date-parts":[["2021","12","9"]]},"title":"Invasive species increase biodiversity and, therefore, services: An argument of equivocations","type":"article-journal","volume":"3"},"uris":["http://www.mendeley.com/documents/?uuid=cc1ca9de-fd88-4627-8a05-e48a19a44472"]},{"id":"ITEM-3","itemData":{"DOI":"10.1016/j.pt.2023.05.005","ISSN":"14714922","author":[{"dropping-particle":"","family":"Brian","given":"J. I.","non-dropping-particle":"","parse-names":false,"suffix":""}],"container-title":"Trends in Parasitology","id":"ITEM-3","issue":"8","issued":{"date-parts":[["2023","8"]]},"page":"618-621","title":"Parasites in biodiversity conservation: friend or foe?","type":"article-journal","volume":"39"},"uris":["http://www.mendeley.com/documents/?uuid=54b393c0-8353-4934-8fa3-0c9fb249e068"]},{"id":"ITEM-4","itemData":{"DOI":"10.1016/j.tree.2018.01.011","ISSN":"01695347","author":[{"dropping-particle":"","family":"Frainer","given":"André","non-dropping-particle":"","parse-names":false,"suffix":""},{"dropping-particle":"","family":"McKie","given":"Brendan G.","non-dropping-particle":"","parse-names":false,"suffix":""},{"dropping-particle":"","family":"Amundsen","given":"Per-Arne","non-dropping-particle":"","parse-names":false,"suffix":""},{"dropping-particle":"","family":"Knudsen","given":"Rune","non-dropping-particle":"","parse-names":false,"suffix":""},{"dropping-particle":"","family":"Lafferty","given":"Kevin D.","non-dropping-particle":"","parse-names":false,"suffix":""}],"container-title":"Trends in Ecology &amp; Evolution","id":"ITEM-4","issue":"4","issued":{"date-parts":[["2018","4"]]},"page":"260-268","title":"Parasitism and the biodiversity-functioning relationship","type":"article-journal","volume":"33"},"uris":["http://www.mendeley.com/documents/?uuid=df1d8648-b229-4956-96ac-3bd89d088041"]}],"mendeley":{"formattedCitation":"&lt;sup&gt;17–20&lt;/sup&gt;","plainTextFormattedCitation":"17–20"},"properties":{"noteIndex":0},"schema":"https://github.com/citation-style-language/schema/raw/master/csl-citation.json"}</w:instrText>
      </w:r>
      <w:r>
        <w:fldChar w:fldCharType="separate"/>
      </w:r>
      <w:r w:rsidRPr="006354E9">
        <w:rPr>
          <w:noProof/>
          <w:vertAlign w:val="superscript"/>
        </w:rPr>
        <w:t>17–20</w:t>
      </w:r>
      <w:r>
        <w:fldChar w:fldCharType="end"/>
      </w:r>
    </w:p>
    <w:p w14:paraId="7223938D" w14:textId="36CA2EA0"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Pr="006354E9">
        <w:rPr>
          <w:rFonts w:ascii="Calibri" w:hAnsi="Calibri" w:cs="Calibri"/>
          <w:noProof/>
          <w:szCs w:val="24"/>
        </w:rPr>
        <w:t>(1)</w:t>
      </w:r>
      <w:r w:rsidRPr="006354E9">
        <w:rPr>
          <w:rFonts w:ascii="Calibri" w:hAnsi="Calibri" w:cs="Calibri"/>
          <w:noProof/>
          <w:szCs w:val="24"/>
        </w:rPr>
        <w:tab/>
        <w:t xml:space="preserve">Gewin, V. How to Write a First-Class Paper. </w:t>
      </w:r>
      <w:r w:rsidRPr="006354E9">
        <w:rPr>
          <w:rFonts w:ascii="Calibri" w:hAnsi="Calibri" w:cs="Calibri"/>
          <w:i/>
          <w:iCs/>
          <w:noProof/>
          <w:szCs w:val="24"/>
        </w:rPr>
        <w:t>Nature</w:t>
      </w:r>
      <w:r w:rsidRPr="006354E9">
        <w:rPr>
          <w:rFonts w:ascii="Calibri" w:hAnsi="Calibri" w:cs="Calibri"/>
          <w:noProof/>
          <w:szCs w:val="24"/>
        </w:rPr>
        <w:t xml:space="preserve"> </w:t>
      </w:r>
      <w:r w:rsidRPr="006354E9">
        <w:rPr>
          <w:rFonts w:ascii="Calibri" w:hAnsi="Calibri" w:cs="Calibri"/>
          <w:b/>
          <w:bCs/>
          <w:noProof/>
          <w:szCs w:val="24"/>
        </w:rPr>
        <w:t>2018</w:t>
      </w:r>
      <w:r w:rsidRPr="006354E9">
        <w:rPr>
          <w:rFonts w:ascii="Calibri" w:hAnsi="Calibri" w:cs="Calibri"/>
          <w:noProof/>
          <w:szCs w:val="24"/>
        </w:rPr>
        <w:t xml:space="preserve">, </w:t>
      </w:r>
      <w:r w:rsidRPr="006354E9">
        <w:rPr>
          <w:rFonts w:ascii="Calibri" w:hAnsi="Calibri" w:cs="Calibri"/>
          <w:i/>
          <w:iCs/>
          <w:noProof/>
          <w:szCs w:val="24"/>
        </w:rPr>
        <w:t>555</w:t>
      </w:r>
      <w:r w:rsidRPr="006354E9">
        <w:rPr>
          <w:rFonts w:ascii="Calibri" w:hAnsi="Calibri" w:cs="Calibri"/>
          <w:noProof/>
          <w:szCs w:val="24"/>
        </w:rPr>
        <w:t xml:space="preserve"> (7694), 129–130. https://doi.org/10.1038/d41586-018-02404-4.</w:t>
      </w:r>
    </w:p>
    <w:p w14:paraId="59E07012"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(2)</w:t>
      </w:r>
      <w:r w:rsidRPr="006354E9">
        <w:rPr>
          <w:rFonts w:ascii="Calibri" w:hAnsi="Calibri" w:cs="Calibri"/>
          <w:noProof/>
          <w:szCs w:val="24"/>
        </w:rPr>
        <w:tab/>
        <w:t xml:space="preserve">Doubleday, Z. A.; Connell, S. D. Publishing with Objective Charisma: Breaking Science’s Paradox. </w:t>
      </w:r>
      <w:r w:rsidRPr="006354E9">
        <w:rPr>
          <w:rFonts w:ascii="Calibri" w:hAnsi="Calibri" w:cs="Calibri"/>
          <w:i/>
          <w:iCs/>
          <w:noProof/>
          <w:szCs w:val="24"/>
        </w:rPr>
        <w:t>Trends Ecol. Evol.</w:t>
      </w:r>
      <w:r w:rsidRPr="006354E9">
        <w:rPr>
          <w:rFonts w:ascii="Calibri" w:hAnsi="Calibri" w:cs="Calibri"/>
          <w:noProof/>
          <w:szCs w:val="24"/>
        </w:rPr>
        <w:t xml:space="preserve"> </w:t>
      </w:r>
      <w:r w:rsidRPr="006354E9">
        <w:rPr>
          <w:rFonts w:ascii="Calibri" w:hAnsi="Calibri" w:cs="Calibri"/>
          <w:b/>
          <w:bCs/>
          <w:noProof/>
          <w:szCs w:val="24"/>
        </w:rPr>
        <w:t>2017</w:t>
      </w:r>
      <w:r w:rsidRPr="006354E9">
        <w:rPr>
          <w:rFonts w:ascii="Calibri" w:hAnsi="Calibri" w:cs="Calibri"/>
          <w:noProof/>
          <w:szCs w:val="24"/>
        </w:rPr>
        <w:t xml:space="preserve">, </w:t>
      </w:r>
      <w:r w:rsidRPr="006354E9">
        <w:rPr>
          <w:rFonts w:ascii="Calibri" w:hAnsi="Calibri" w:cs="Calibri"/>
          <w:i/>
          <w:iCs/>
          <w:noProof/>
          <w:szCs w:val="24"/>
        </w:rPr>
        <w:t>32</w:t>
      </w:r>
      <w:r w:rsidRPr="006354E9">
        <w:rPr>
          <w:rFonts w:ascii="Calibri" w:hAnsi="Calibri" w:cs="Calibri"/>
          <w:noProof/>
          <w:szCs w:val="24"/>
        </w:rPr>
        <w:t xml:space="preserve"> (11), 803–805. https://doi.org/10.1016/j.tree.2017.06.011.</w:t>
      </w:r>
    </w:p>
    <w:p w14:paraId="12385974"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(3)</w:t>
      </w:r>
      <w:r w:rsidRPr="006354E9">
        <w:rPr>
          <w:rFonts w:ascii="Calibri" w:hAnsi="Calibri" w:cs="Calibri"/>
          <w:noProof/>
          <w:szCs w:val="24"/>
        </w:rPr>
        <w:tab/>
        <w:t xml:space="preserve">Reiczigel, J.; Marozzi, M.; Fábián, I.; Rózsa, L. Biostatistics for Parasitologists – a Primer to Quantitative Parasitology. </w:t>
      </w:r>
      <w:r w:rsidRPr="006354E9">
        <w:rPr>
          <w:rFonts w:ascii="Calibri" w:hAnsi="Calibri" w:cs="Calibri"/>
          <w:i/>
          <w:iCs/>
          <w:noProof/>
          <w:szCs w:val="24"/>
        </w:rPr>
        <w:t>Trends Parasitol.</w:t>
      </w:r>
      <w:r w:rsidRPr="006354E9">
        <w:rPr>
          <w:rFonts w:ascii="Calibri" w:hAnsi="Calibri" w:cs="Calibri"/>
          <w:noProof/>
          <w:szCs w:val="24"/>
        </w:rPr>
        <w:t xml:space="preserve"> </w:t>
      </w:r>
      <w:r w:rsidRPr="006354E9">
        <w:rPr>
          <w:rFonts w:ascii="Calibri" w:hAnsi="Calibri" w:cs="Calibri"/>
          <w:b/>
          <w:bCs/>
          <w:noProof/>
          <w:szCs w:val="24"/>
        </w:rPr>
        <w:t>2019</w:t>
      </w:r>
      <w:r w:rsidRPr="006354E9">
        <w:rPr>
          <w:rFonts w:ascii="Calibri" w:hAnsi="Calibri" w:cs="Calibri"/>
          <w:noProof/>
          <w:szCs w:val="24"/>
        </w:rPr>
        <w:t xml:space="preserve">, </w:t>
      </w:r>
      <w:r w:rsidRPr="006354E9">
        <w:rPr>
          <w:rFonts w:ascii="Calibri" w:hAnsi="Calibri" w:cs="Calibri"/>
          <w:i/>
          <w:iCs/>
          <w:noProof/>
          <w:szCs w:val="24"/>
        </w:rPr>
        <w:t>35</w:t>
      </w:r>
      <w:r w:rsidRPr="006354E9">
        <w:rPr>
          <w:rFonts w:ascii="Calibri" w:hAnsi="Calibri" w:cs="Calibri"/>
          <w:noProof/>
          <w:szCs w:val="24"/>
        </w:rPr>
        <w:t xml:space="preserve"> (4), 277–281. https://doi.org/10.1016/j.pt.2019.01.003.</w:t>
      </w:r>
    </w:p>
    <w:p w14:paraId="16CC74BC"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(4)</w:t>
      </w:r>
      <w:r w:rsidRPr="006354E9">
        <w:rPr>
          <w:rFonts w:ascii="Calibri" w:hAnsi="Calibri" w:cs="Calibri"/>
          <w:noProof/>
          <w:szCs w:val="24"/>
        </w:rPr>
        <w:tab/>
        <w:t xml:space="preserve">Buntin, G. D. Developing a Primary Sampling Program. In </w:t>
      </w:r>
      <w:r w:rsidRPr="006354E9">
        <w:rPr>
          <w:rFonts w:ascii="Calibri" w:hAnsi="Calibri" w:cs="Calibri"/>
          <w:i/>
          <w:iCs/>
          <w:noProof/>
          <w:szCs w:val="24"/>
        </w:rPr>
        <w:t>Handbook of sampling methods for arthropods in agriculture</w:t>
      </w:r>
      <w:r w:rsidRPr="006354E9">
        <w:rPr>
          <w:rFonts w:ascii="Calibri" w:hAnsi="Calibri" w:cs="Calibri"/>
          <w:noProof/>
          <w:szCs w:val="24"/>
        </w:rPr>
        <w:t>; Pedigo, L. P., Buntin, G. D., Eds.; CRC Press: Boca Ratón, Florida, 1994; pp 99–115.</w:t>
      </w:r>
    </w:p>
    <w:p w14:paraId="3CA70F9D"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(5)</w:t>
      </w:r>
      <w:r w:rsidRPr="006354E9">
        <w:rPr>
          <w:rFonts w:ascii="Calibri" w:hAnsi="Calibri" w:cs="Calibri"/>
          <w:noProof/>
          <w:szCs w:val="24"/>
        </w:rPr>
        <w:tab/>
        <w:t xml:space="preserve">Decker, K. L.; Allen, C. R.; Acosta, L.; Hellman, M. L.; Jorgensen, C. F.; Stutzman, R. J.; Unstad, K. M.; Williams, A.; Yans, M. Land Use, Landscapes, and Biological Invasions. </w:t>
      </w:r>
      <w:r w:rsidRPr="006354E9">
        <w:rPr>
          <w:rFonts w:ascii="Calibri" w:hAnsi="Calibri" w:cs="Calibri"/>
          <w:i/>
          <w:iCs/>
          <w:noProof/>
          <w:szCs w:val="24"/>
        </w:rPr>
        <w:t>Invasive Plant Sci. Manag.</w:t>
      </w:r>
      <w:r w:rsidRPr="006354E9">
        <w:rPr>
          <w:rFonts w:ascii="Calibri" w:hAnsi="Calibri" w:cs="Calibri"/>
          <w:noProof/>
          <w:szCs w:val="24"/>
        </w:rPr>
        <w:t xml:space="preserve"> </w:t>
      </w:r>
      <w:r w:rsidRPr="006354E9">
        <w:rPr>
          <w:rFonts w:ascii="Calibri" w:hAnsi="Calibri" w:cs="Calibri"/>
          <w:b/>
          <w:bCs/>
          <w:noProof/>
          <w:szCs w:val="24"/>
        </w:rPr>
        <w:t>2012</w:t>
      </w:r>
      <w:r w:rsidRPr="006354E9">
        <w:rPr>
          <w:rFonts w:ascii="Calibri" w:hAnsi="Calibri" w:cs="Calibri"/>
          <w:noProof/>
          <w:szCs w:val="24"/>
        </w:rPr>
        <w:t xml:space="preserve">, </w:t>
      </w:r>
      <w:r w:rsidRPr="006354E9">
        <w:rPr>
          <w:rFonts w:ascii="Calibri" w:hAnsi="Calibri" w:cs="Calibri"/>
          <w:i/>
          <w:iCs/>
          <w:noProof/>
          <w:szCs w:val="24"/>
        </w:rPr>
        <w:t>5</w:t>
      </w:r>
      <w:r w:rsidRPr="006354E9">
        <w:rPr>
          <w:rFonts w:ascii="Calibri" w:hAnsi="Calibri" w:cs="Calibri"/>
          <w:noProof/>
          <w:szCs w:val="24"/>
        </w:rPr>
        <w:t xml:space="preserve"> (1), 108–116. https://doi.org/10.1614/IPSM-D-11-00007.1.</w:t>
      </w:r>
    </w:p>
    <w:p w14:paraId="700EC02A"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(6)</w:t>
      </w:r>
      <w:r w:rsidRPr="006354E9">
        <w:rPr>
          <w:rFonts w:ascii="Calibri" w:hAnsi="Calibri" w:cs="Calibri"/>
          <w:noProof/>
          <w:szCs w:val="24"/>
        </w:rPr>
        <w:tab/>
        <w:t xml:space="preserve">Pedigo, L. P.; Buntin, G. D. </w:t>
      </w:r>
      <w:r w:rsidRPr="006354E9">
        <w:rPr>
          <w:rFonts w:ascii="Calibri" w:hAnsi="Calibri" w:cs="Calibri"/>
          <w:i/>
          <w:iCs/>
          <w:noProof/>
          <w:szCs w:val="24"/>
        </w:rPr>
        <w:t>Handbook of Sampling Methods for Arthropods in Agriculture</w:t>
      </w:r>
      <w:r w:rsidRPr="006354E9">
        <w:rPr>
          <w:rFonts w:ascii="Calibri" w:hAnsi="Calibri" w:cs="Calibri"/>
          <w:noProof/>
          <w:szCs w:val="24"/>
        </w:rPr>
        <w:t>; CRC Press: Boca Raton, Florida, 1994.</w:t>
      </w:r>
    </w:p>
    <w:p w14:paraId="00EF0C10"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(7)</w:t>
      </w:r>
      <w:r w:rsidRPr="006354E9">
        <w:rPr>
          <w:rFonts w:ascii="Calibri" w:hAnsi="Calibri" w:cs="Calibri"/>
          <w:noProof/>
          <w:szCs w:val="24"/>
        </w:rPr>
        <w:tab/>
        <w:t xml:space="preserve">Pellegrini, E.; Buccheri, M.; Martini, F.; Boscutti, F. Agricultural Land Use Curbs Exotic Invasion but Sustains Native Plant Diversity at Intermediate Levels. </w:t>
      </w:r>
      <w:r w:rsidRPr="006354E9">
        <w:rPr>
          <w:rFonts w:ascii="Calibri" w:hAnsi="Calibri" w:cs="Calibri"/>
          <w:i/>
          <w:iCs/>
          <w:noProof/>
          <w:szCs w:val="24"/>
        </w:rPr>
        <w:t>Sci. Rep.</w:t>
      </w:r>
      <w:r w:rsidRPr="006354E9">
        <w:rPr>
          <w:rFonts w:ascii="Calibri" w:hAnsi="Calibri" w:cs="Calibri"/>
          <w:noProof/>
          <w:szCs w:val="24"/>
        </w:rPr>
        <w:t xml:space="preserve"> </w:t>
      </w:r>
      <w:r w:rsidRPr="006354E9">
        <w:rPr>
          <w:rFonts w:ascii="Calibri" w:hAnsi="Calibri" w:cs="Calibri"/>
          <w:b/>
          <w:bCs/>
          <w:noProof/>
          <w:szCs w:val="24"/>
        </w:rPr>
        <w:t>2021</w:t>
      </w:r>
      <w:r w:rsidRPr="006354E9">
        <w:rPr>
          <w:rFonts w:ascii="Calibri" w:hAnsi="Calibri" w:cs="Calibri"/>
          <w:noProof/>
          <w:szCs w:val="24"/>
        </w:rPr>
        <w:t xml:space="preserve">, </w:t>
      </w:r>
      <w:r w:rsidRPr="006354E9">
        <w:rPr>
          <w:rFonts w:ascii="Calibri" w:hAnsi="Calibri" w:cs="Calibri"/>
          <w:i/>
          <w:iCs/>
          <w:noProof/>
          <w:szCs w:val="24"/>
        </w:rPr>
        <w:t>11</w:t>
      </w:r>
      <w:r w:rsidRPr="006354E9">
        <w:rPr>
          <w:rFonts w:ascii="Calibri" w:hAnsi="Calibri" w:cs="Calibri"/>
          <w:noProof/>
          <w:szCs w:val="24"/>
        </w:rPr>
        <w:t xml:space="preserve"> (1), 8385. https://doi.org/10.1038/s41598-021-87806-7.</w:t>
      </w:r>
    </w:p>
    <w:p w14:paraId="6DAE7E94"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(8)</w:t>
      </w:r>
      <w:r w:rsidRPr="006354E9">
        <w:rPr>
          <w:rFonts w:ascii="Calibri" w:hAnsi="Calibri" w:cs="Calibri"/>
          <w:noProof/>
          <w:szCs w:val="24"/>
        </w:rPr>
        <w:tab/>
        <w:t xml:space="preserve">Shvydka, S.; Sarabeev, V.; Ovcharenko, M.; Zdimalova, M. Modelling Symbiotic Species Richness from Invertebrate Aquatic Hosts Using Generalized Linear and Additive Models. In </w:t>
      </w:r>
      <w:r w:rsidRPr="006354E9">
        <w:rPr>
          <w:rFonts w:ascii="Calibri" w:hAnsi="Calibri" w:cs="Calibri"/>
          <w:i/>
          <w:iCs/>
          <w:noProof/>
          <w:szCs w:val="24"/>
        </w:rPr>
        <w:t>25th International Conference on Computational Statistics (Birkbeck, University of London, UK, 22-25 August 2023)</w:t>
      </w:r>
      <w:r w:rsidRPr="006354E9">
        <w:rPr>
          <w:rFonts w:ascii="Calibri" w:hAnsi="Calibri" w:cs="Calibri"/>
          <w:noProof/>
          <w:szCs w:val="24"/>
        </w:rPr>
        <w:t>; 2023; p A0267.</w:t>
      </w:r>
    </w:p>
    <w:p w14:paraId="5A3AD985"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(9)</w:t>
      </w:r>
      <w:r w:rsidRPr="006354E9">
        <w:rPr>
          <w:rFonts w:ascii="Calibri" w:hAnsi="Calibri" w:cs="Calibri"/>
          <w:noProof/>
          <w:szCs w:val="24"/>
        </w:rPr>
        <w:tab/>
        <w:t xml:space="preserve">Andrade, C. How to Write a Good Abstract for a Scientific Paper or Conference Presentation. </w:t>
      </w:r>
      <w:r w:rsidRPr="006354E9">
        <w:rPr>
          <w:rFonts w:ascii="Calibri" w:hAnsi="Calibri" w:cs="Calibri"/>
          <w:i/>
          <w:iCs/>
          <w:noProof/>
          <w:szCs w:val="24"/>
        </w:rPr>
        <w:t>Indian J. Psychiatry</w:t>
      </w:r>
      <w:r w:rsidRPr="006354E9">
        <w:rPr>
          <w:rFonts w:ascii="Calibri" w:hAnsi="Calibri" w:cs="Calibri"/>
          <w:noProof/>
          <w:szCs w:val="24"/>
        </w:rPr>
        <w:t xml:space="preserve"> </w:t>
      </w:r>
      <w:r w:rsidRPr="006354E9">
        <w:rPr>
          <w:rFonts w:ascii="Calibri" w:hAnsi="Calibri" w:cs="Calibri"/>
          <w:b/>
          <w:bCs/>
          <w:noProof/>
          <w:szCs w:val="24"/>
        </w:rPr>
        <w:t>2011</w:t>
      </w:r>
      <w:r w:rsidRPr="006354E9">
        <w:rPr>
          <w:rFonts w:ascii="Calibri" w:hAnsi="Calibri" w:cs="Calibri"/>
          <w:noProof/>
          <w:szCs w:val="24"/>
        </w:rPr>
        <w:t xml:space="preserve">, </w:t>
      </w:r>
      <w:r w:rsidRPr="006354E9">
        <w:rPr>
          <w:rFonts w:ascii="Calibri" w:hAnsi="Calibri" w:cs="Calibri"/>
          <w:i/>
          <w:iCs/>
          <w:noProof/>
          <w:szCs w:val="24"/>
        </w:rPr>
        <w:t>53</w:t>
      </w:r>
      <w:r w:rsidRPr="006354E9">
        <w:rPr>
          <w:rFonts w:ascii="Calibri" w:hAnsi="Calibri" w:cs="Calibri"/>
          <w:noProof/>
          <w:szCs w:val="24"/>
        </w:rPr>
        <w:t xml:space="preserve"> (2), 172. https://doi.org/10.4103/0019-5545.82558.</w:t>
      </w:r>
    </w:p>
    <w:p w14:paraId="1EB79BF5"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(10)</w:t>
      </w:r>
      <w:r w:rsidRPr="006354E9">
        <w:rPr>
          <w:rFonts w:ascii="Calibri" w:hAnsi="Calibri" w:cs="Calibri"/>
          <w:noProof/>
          <w:szCs w:val="24"/>
        </w:rPr>
        <w:tab/>
        <w:t>Tykhonkova, I. O. Ukrainian Journals in the Web of Science; 2016; pp 31–39. https://doi.org/10.15407/akademperiodyka.321.031.</w:t>
      </w:r>
    </w:p>
    <w:p w14:paraId="04E6DB47"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(11)</w:t>
      </w:r>
      <w:r w:rsidRPr="006354E9">
        <w:rPr>
          <w:rFonts w:ascii="Calibri" w:hAnsi="Calibri" w:cs="Calibri"/>
          <w:noProof/>
          <w:szCs w:val="24"/>
        </w:rPr>
        <w:tab/>
        <w:t xml:space="preserve">Watson, R. Beall’s List of Predatory Open Access Journals: RIP. </w:t>
      </w:r>
      <w:r w:rsidRPr="006354E9">
        <w:rPr>
          <w:rFonts w:ascii="Calibri" w:hAnsi="Calibri" w:cs="Calibri"/>
          <w:i/>
          <w:iCs/>
          <w:noProof/>
          <w:szCs w:val="24"/>
        </w:rPr>
        <w:t>Nurs. Open</w:t>
      </w:r>
      <w:r w:rsidRPr="006354E9">
        <w:rPr>
          <w:rFonts w:ascii="Calibri" w:hAnsi="Calibri" w:cs="Calibri"/>
          <w:noProof/>
          <w:szCs w:val="24"/>
        </w:rPr>
        <w:t xml:space="preserve"> </w:t>
      </w:r>
      <w:r w:rsidRPr="006354E9">
        <w:rPr>
          <w:rFonts w:ascii="Calibri" w:hAnsi="Calibri" w:cs="Calibri"/>
          <w:b/>
          <w:bCs/>
          <w:noProof/>
          <w:szCs w:val="24"/>
        </w:rPr>
        <w:t>2017</w:t>
      </w:r>
      <w:r w:rsidRPr="006354E9">
        <w:rPr>
          <w:rFonts w:ascii="Calibri" w:hAnsi="Calibri" w:cs="Calibri"/>
          <w:noProof/>
          <w:szCs w:val="24"/>
        </w:rPr>
        <w:t xml:space="preserve">, </w:t>
      </w:r>
      <w:r w:rsidRPr="006354E9">
        <w:rPr>
          <w:rFonts w:ascii="Calibri" w:hAnsi="Calibri" w:cs="Calibri"/>
          <w:i/>
          <w:iCs/>
          <w:noProof/>
          <w:szCs w:val="24"/>
        </w:rPr>
        <w:t>4</w:t>
      </w:r>
      <w:r w:rsidRPr="006354E9">
        <w:rPr>
          <w:rFonts w:ascii="Calibri" w:hAnsi="Calibri" w:cs="Calibri"/>
          <w:noProof/>
          <w:szCs w:val="24"/>
        </w:rPr>
        <w:t xml:space="preserve"> (2), 60–60. https://doi.org/10.1002/nop2.78.</w:t>
      </w:r>
    </w:p>
    <w:p w14:paraId="2776DB08"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(12)</w:t>
      </w:r>
      <w:r w:rsidRPr="006354E9">
        <w:rPr>
          <w:rFonts w:ascii="Calibri" w:hAnsi="Calibri" w:cs="Calibri"/>
          <w:noProof/>
          <w:szCs w:val="24"/>
        </w:rPr>
        <w:tab/>
        <w:t xml:space="preserve">Вернигора, Н. М. Жанри Наукової Періодики (Методичні Рекомендації Щодо Формування Структури і Рубрикації Текстів). </w:t>
      </w:r>
      <w:r w:rsidRPr="006354E9">
        <w:rPr>
          <w:rFonts w:ascii="Calibri" w:hAnsi="Calibri" w:cs="Calibri"/>
          <w:i/>
          <w:iCs/>
          <w:noProof/>
          <w:szCs w:val="24"/>
        </w:rPr>
        <w:t>Інтегровані комунікації</w:t>
      </w:r>
      <w:r w:rsidRPr="006354E9">
        <w:rPr>
          <w:rFonts w:ascii="Calibri" w:hAnsi="Calibri" w:cs="Calibri"/>
          <w:noProof/>
          <w:szCs w:val="24"/>
        </w:rPr>
        <w:t xml:space="preserve"> </w:t>
      </w:r>
      <w:r w:rsidRPr="006354E9">
        <w:rPr>
          <w:rFonts w:ascii="Calibri" w:hAnsi="Calibri" w:cs="Calibri"/>
          <w:b/>
          <w:bCs/>
          <w:noProof/>
          <w:szCs w:val="24"/>
        </w:rPr>
        <w:t>2016</w:t>
      </w:r>
      <w:r w:rsidRPr="006354E9">
        <w:rPr>
          <w:rFonts w:ascii="Calibri" w:hAnsi="Calibri" w:cs="Calibri"/>
          <w:noProof/>
          <w:szCs w:val="24"/>
        </w:rPr>
        <w:t xml:space="preserve">, </w:t>
      </w:r>
      <w:r w:rsidRPr="006354E9">
        <w:rPr>
          <w:rFonts w:ascii="Calibri" w:hAnsi="Calibri" w:cs="Calibri"/>
          <w:i/>
          <w:iCs/>
          <w:noProof/>
          <w:szCs w:val="24"/>
        </w:rPr>
        <w:t>2</w:t>
      </w:r>
      <w:r w:rsidRPr="006354E9">
        <w:rPr>
          <w:rFonts w:ascii="Calibri" w:hAnsi="Calibri" w:cs="Calibri"/>
          <w:noProof/>
          <w:szCs w:val="24"/>
        </w:rPr>
        <w:t>, 46–52.</w:t>
      </w:r>
    </w:p>
    <w:p w14:paraId="15BD8A24"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(13)</w:t>
      </w:r>
      <w:r w:rsidRPr="006354E9">
        <w:rPr>
          <w:rFonts w:ascii="Calibri" w:hAnsi="Calibri" w:cs="Calibri"/>
          <w:noProof/>
          <w:szCs w:val="24"/>
        </w:rPr>
        <w:tab/>
        <w:t xml:space="preserve">Morrill, A.; Poulin, R.; Forbes, M. R. Interrelationships and Properties of Parasite Aggregation Measures: A User’s Guide. </w:t>
      </w:r>
      <w:r w:rsidRPr="006354E9">
        <w:rPr>
          <w:rFonts w:ascii="Calibri" w:hAnsi="Calibri" w:cs="Calibri"/>
          <w:i/>
          <w:iCs/>
          <w:noProof/>
          <w:szCs w:val="24"/>
        </w:rPr>
        <w:t>Int. J. Parasitol.</w:t>
      </w:r>
      <w:r w:rsidRPr="006354E9">
        <w:rPr>
          <w:rFonts w:ascii="Calibri" w:hAnsi="Calibri" w:cs="Calibri"/>
          <w:noProof/>
          <w:szCs w:val="24"/>
        </w:rPr>
        <w:t xml:space="preserve"> </w:t>
      </w:r>
      <w:r w:rsidRPr="006354E9">
        <w:rPr>
          <w:rFonts w:ascii="Calibri" w:hAnsi="Calibri" w:cs="Calibri"/>
          <w:b/>
          <w:bCs/>
          <w:noProof/>
          <w:szCs w:val="24"/>
        </w:rPr>
        <w:t>2023</w:t>
      </w:r>
      <w:r w:rsidRPr="006354E9">
        <w:rPr>
          <w:rFonts w:ascii="Calibri" w:hAnsi="Calibri" w:cs="Calibri"/>
          <w:noProof/>
          <w:szCs w:val="24"/>
        </w:rPr>
        <w:t>. https://doi.org/10.1016/j.ijpara.2023.06.004.</w:t>
      </w:r>
    </w:p>
    <w:p w14:paraId="23693E74"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(14)</w:t>
      </w:r>
      <w:r w:rsidRPr="006354E9">
        <w:rPr>
          <w:rFonts w:ascii="Calibri" w:hAnsi="Calibri" w:cs="Calibri"/>
          <w:noProof/>
          <w:szCs w:val="24"/>
        </w:rPr>
        <w:tab/>
        <w:t xml:space="preserve">Walsh, P. S.; Metzger, D. A.; Higuchi, R. Chelex 100 as a Medium for Simple Extraction of DNA for PCR-Based Typing from Forensic Material. </w:t>
      </w:r>
      <w:r w:rsidRPr="006354E9">
        <w:rPr>
          <w:rFonts w:ascii="Calibri" w:hAnsi="Calibri" w:cs="Calibri"/>
          <w:i/>
          <w:iCs/>
          <w:noProof/>
          <w:szCs w:val="24"/>
        </w:rPr>
        <w:t>Biotechniques</w:t>
      </w:r>
      <w:r w:rsidRPr="006354E9">
        <w:rPr>
          <w:rFonts w:ascii="Calibri" w:hAnsi="Calibri" w:cs="Calibri"/>
          <w:noProof/>
          <w:szCs w:val="24"/>
        </w:rPr>
        <w:t xml:space="preserve"> </w:t>
      </w:r>
      <w:r w:rsidRPr="006354E9">
        <w:rPr>
          <w:rFonts w:ascii="Calibri" w:hAnsi="Calibri" w:cs="Calibri"/>
          <w:b/>
          <w:bCs/>
          <w:noProof/>
          <w:szCs w:val="24"/>
        </w:rPr>
        <w:t>1991</w:t>
      </w:r>
      <w:r w:rsidRPr="006354E9">
        <w:rPr>
          <w:rFonts w:ascii="Calibri" w:hAnsi="Calibri" w:cs="Calibri"/>
          <w:noProof/>
          <w:szCs w:val="24"/>
        </w:rPr>
        <w:t xml:space="preserve">, </w:t>
      </w:r>
      <w:r w:rsidRPr="006354E9">
        <w:rPr>
          <w:rFonts w:ascii="Calibri" w:hAnsi="Calibri" w:cs="Calibri"/>
          <w:i/>
          <w:iCs/>
          <w:noProof/>
          <w:szCs w:val="24"/>
        </w:rPr>
        <w:t>10</w:t>
      </w:r>
      <w:r w:rsidRPr="006354E9">
        <w:rPr>
          <w:rFonts w:ascii="Calibri" w:hAnsi="Calibri" w:cs="Calibri"/>
          <w:noProof/>
          <w:szCs w:val="24"/>
        </w:rPr>
        <w:t xml:space="preserve"> (4), 506–513.</w:t>
      </w:r>
    </w:p>
    <w:p w14:paraId="178DA489"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(15)</w:t>
      </w:r>
      <w:r w:rsidRPr="006354E9">
        <w:rPr>
          <w:rFonts w:ascii="Calibri" w:hAnsi="Calibri" w:cs="Calibri"/>
          <w:noProof/>
          <w:szCs w:val="24"/>
        </w:rPr>
        <w:tab/>
        <w:t xml:space="preserve">Brian, J. I.; Catford, J. A. A Mechanistic Framework of Enemy Release. </w:t>
      </w:r>
      <w:r w:rsidRPr="006354E9">
        <w:rPr>
          <w:rFonts w:ascii="Calibri" w:hAnsi="Calibri" w:cs="Calibri"/>
          <w:i/>
          <w:iCs/>
          <w:noProof/>
          <w:szCs w:val="24"/>
        </w:rPr>
        <w:t>Ecol. Lett.</w:t>
      </w:r>
      <w:r w:rsidRPr="006354E9">
        <w:rPr>
          <w:rFonts w:ascii="Calibri" w:hAnsi="Calibri" w:cs="Calibri"/>
          <w:noProof/>
          <w:szCs w:val="24"/>
        </w:rPr>
        <w:t xml:space="preserve"> </w:t>
      </w:r>
      <w:r w:rsidRPr="006354E9">
        <w:rPr>
          <w:rFonts w:ascii="Calibri" w:hAnsi="Calibri" w:cs="Calibri"/>
          <w:b/>
          <w:bCs/>
          <w:noProof/>
          <w:szCs w:val="24"/>
        </w:rPr>
        <w:t>2023</w:t>
      </w:r>
      <w:r w:rsidRPr="006354E9">
        <w:rPr>
          <w:rFonts w:ascii="Calibri" w:hAnsi="Calibri" w:cs="Calibri"/>
          <w:noProof/>
          <w:szCs w:val="24"/>
        </w:rPr>
        <w:t xml:space="preserve">, </w:t>
      </w:r>
      <w:r w:rsidRPr="006354E9">
        <w:rPr>
          <w:rFonts w:ascii="Calibri" w:hAnsi="Calibri" w:cs="Calibri"/>
          <w:i/>
          <w:iCs/>
          <w:noProof/>
          <w:szCs w:val="24"/>
        </w:rPr>
        <w:t>26</w:t>
      </w:r>
      <w:r w:rsidRPr="006354E9">
        <w:rPr>
          <w:rFonts w:ascii="Calibri" w:hAnsi="Calibri" w:cs="Calibri"/>
          <w:noProof/>
          <w:szCs w:val="24"/>
        </w:rPr>
        <w:t xml:space="preserve"> (12), 2147–2166. https://doi.org/10.1111/ele.14329.</w:t>
      </w:r>
    </w:p>
    <w:p w14:paraId="2FEDDEAF"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(16)</w:t>
      </w:r>
      <w:r w:rsidRPr="006354E9">
        <w:rPr>
          <w:rFonts w:ascii="Calibri" w:hAnsi="Calibri" w:cs="Calibri"/>
          <w:noProof/>
          <w:szCs w:val="24"/>
        </w:rPr>
        <w:tab/>
        <w:t xml:space="preserve">Gruebl, T.; Frischer, M.; Sheppard, M.; Neumann, M.; Maurer, A.; Lee, R. Development of an 18S RRNA Gene Targeted PCR Based Diagnostic for the Blue Crab Parasite Hematodinium Sp. </w:t>
      </w:r>
      <w:r w:rsidRPr="006354E9">
        <w:rPr>
          <w:rFonts w:ascii="Calibri" w:hAnsi="Calibri" w:cs="Calibri"/>
          <w:i/>
          <w:iCs/>
          <w:noProof/>
          <w:szCs w:val="24"/>
        </w:rPr>
        <w:t>Dis. Aquat. Organ.</w:t>
      </w:r>
      <w:r w:rsidRPr="006354E9">
        <w:rPr>
          <w:rFonts w:ascii="Calibri" w:hAnsi="Calibri" w:cs="Calibri"/>
          <w:noProof/>
          <w:szCs w:val="24"/>
        </w:rPr>
        <w:t xml:space="preserve"> </w:t>
      </w:r>
      <w:r w:rsidRPr="006354E9">
        <w:rPr>
          <w:rFonts w:ascii="Calibri" w:hAnsi="Calibri" w:cs="Calibri"/>
          <w:b/>
          <w:bCs/>
          <w:noProof/>
          <w:szCs w:val="24"/>
        </w:rPr>
        <w:t>2002</w:t>
      </w:r>
      <w:r w:rsidRPr="006354E9">
        <w:rPr>
          <w:rFonts w:ascii="Calibri" w:hAnsi="Calibri" w:cs="Calibri"/>
          <w:noProof/>
          <w:szCs w:val="24"/>
        </w:rPr>
        <w:t xml:space="preserve">, </w:t>
      </w:r>
      <w:r w:rsidRPr="006354E9">
        <w:rPr>
          <w:rFonts w:ascii="Calibri" w:hAnsi="Calibri" w:cs="Calibri"/>
          <w:i/>
          <w:iCs/>
          <w:noProof/>
          <w:szCs w:val="24"/>
        </w:rPr>
        <w:t>49</w:t>
      </w:r>
      <w:r w:rsidRPr="006354E9">
        <w:rPr>
          <w:rFonts w:ascii="Calibri" w:hAnsi="Calibri" w:cs="Calibri"/>
          <w:noProof/>
          <w:szCs w:val="24"/>
        </w:rPr>
        <w:t>, 61–70. https://doi.org/10.3354/dao049061.</w:t>
      </w:r>
    </w:p>
    <w:p w14:paraId="53849AEB"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lastRenderedPageBreak/>
        <w:t>(17)</w:t>
      </w:r>
      <w:r w:rsidRPr="006354E9">
        <w:rPr>
          <w:rFonts w:ascii="Calibri" w:hAnsi="Calibri" w:cs="Calibri"/>
          <w:noProof/>
          <w:szCs w:val="24"/>
        </w:rPr>
        <w:tab/>
        <w:t xml:space="preserve">Hess, M. C. M.; Buisson, E.; Jaunatre, R.; Mesléard, F. Using Limiting Similarity to Enhance Invasion Resistance: Theoretical and Practical Concerns. </w:t>
      </w:r>
      <w:r w:rsidRPr="006354E9">
        <w:rPr>
          <w:rFonts w:ascii="Calibri" w:hAnsi="Calibri" w:cs="Calibri"/>
          <w:i/>
          <w:iCs/>
          <w:noProof/>
          <w:szCs w:val="24"/>
        </w:rPr>
        <w:t>J. Appl. Ecol.</w:t>
      </w:r>
      <w:r w:rsidRPr="006354E9">
        <w:rPr>
          <w:rFonts w:ascii="Calibri" w:hAnsi="Calibri" w:cs="Calibri"/>
          <w:noProof/>
          <w:szCs w:val="24"/>
        </w:rPr>
        <w:t xml:space="preserve"> </w:t>
      </w:r>
      <w:r w:rsidRPr="006354E9">
        <w:rPr>
          <w:rFonts w:ascii="Calibri" w:hAnsi="Calibri" w:cs="Calibri"/>
          <w:b/>
          <w:bCs/>
          <w:noProof/>
          <w:szCs w:val="24"/>
        </w:rPr>
        <w:t>2020</w:t>
      </w:r>
      <w:r w:rsidRPr="006354E9">
        <w:rPr>
          <w:rFonts w:ascii="Calibri" w:hAnsi="Calibri" w:cs="Calibri"/>
          <w:noProof/>
          <w:szCs w:val="24"/>
        </w:rPr>
        <w:t xml:space="preserve">, </w:t>
      </w:r>
      <w:r w:rsidRPr="006354E9">
        <w:rPr>
          <w:rFonts w:ascii="Calibri" w:hAnsi="Calibri" w:cs="Calibri"/>
          <w:i/>
          <w:iCs/>
          <w:noProof/>
          <w:szCs w:val="24"/>
        </w:rPr>
        <w:t>57</w:t>
      </w:r>
      <w:r w:rsidRPr="006354E9">
        <w:rPr>
          <w:rFonts w:ascii="Calibri" w:hAnsi="Calibri" w:cs="Calibri"/>
          <w:noProof/>
          <w:szCs w:val="24"/>
        </w:rPr>
        <w:t xml:space="preserve"> (3), 559–565. https://doi.org/10.1111/1365-2664.13552.</w:t>
      </w:r>
    </w:p>
    <w:p w14:paraId="2137FDD1"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(18)</w:t>
      </w:r>
      <w:r w:rsidRPr="006354E9">
        <w:rPr>
          <w:rFonts w:ascii="Calibri" w:hAnsi="Calibri" w:cs="Calibri"/>
          <w:noProof/>
          <w:szCs w:val="24"/>
        </w:rPr>
        <w:tab/>
        <w:t xml:space="preserve">Lean, C. H. Invasive Species Increase Biodiversity and, Therefore, Services: An Argument of Equivocations. </w:t>
      </w:r>
      <w:r w:rsidRPr="006354E9">
        <w:rPr>
          <w:rFonts w:ascii="Calibri" w:hAnsi="Calibri" w:cs="Calibri"/>
          <w:i/>
          <w:iCs/>
          <w:noProof/>
          <w:szCs w:val="24"/>
        </w:rPr>
        <w:t>Conserv. Sci. Pract.</w:t>
      </w:r>
      <w:r w:rsidRPr="006354E9">
        <w:rPr>
          <w:rFonts w:ascii="Calibri" w:hAnsi="Calibri" w:cs="Calibri"/>
          <w:noProof/>
          <w:szCs w:val="24"/>
        </w:rPr>
        <w:t xml:space="preserve"> </w:t>
      </w:r>
      <w:r w:rsidRPr="006354E9">
        <w:rPr>
          <w:rFonts w:ascii="Calibri" w:hAnsi="Calibri" w:cs="Calibri"/>
          <w:b/>
          <w:bCs/>
          <w:noProof/>
          <w:szCs w:val="24"/>
        </w:rPr>
        <w:t>2021</w:t>
      </w:r>
      <w:r w:rsidRPr="006354E9">
        <w:rPr>
          <w:rFonts w:ascii="Calibri" w:hAnsi="Calibri" w:cs="Calibri"/>
          <w:noProof/>
          <w:szCs w:val="24"/>
        </w:rPr>
        <w:t xml:space="preserve">, </w:t>
      </w:r>
      <w:r w:rsidRPr="006354E9">
        <w:rPr>
          <w:rFonts w:ascii="Calibri" w:hAnsi="Calibri" w:cs="Calibri"/>
          <w:i/>
          <w:iCs/>
          <w:noProof/>
          <w:szCs w:val="24"/>
        </w:rPr>
        <w:t>3</w:t>
      </w:r>
      <w:r w:rsidRPr="006354E9">
        <w:rPr>
          <w:rFonts w:ascii="Calibri" w:hAnsi="Calibri" w:cs="Calibri"/>
          <w:noProof/>
          <w:szCs w:val="24"/>
        </w:rPr>
        <w:t xml:space="preserve"> (12). https://doi.org/10.1111/csp2.553.</w:t>
      </w:r>
    </w:p>
    <w:p w14:paraId="7C110999"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szCs w:val="24"/>
        </w:rPr>
      </w:pPr>
      <w:r w:rsidRPr="006354E9">
        <w:rPr>
          <w:rFonts w:ascii="Calibri" w:hAnsi="Calibri" w:cs="Calibri"/>
          <w:noProof/>
          <w:szCs w:val="24"/>
        </w:rPr>
        <w:t>(19)</w:t>
      </w:r>
      <w:r w:rsidRPr="006354E9">
        <w:rPr>
          <w:rFonts w:ascii="Calibri" w:hAnsi="Calibri" w:cs="Calibri"/>
          <w:noProof/>
          <w:szCs w:val="24"/>
        </w:rPr>
        <w:tab/>
        <w:t xml:space="preserve">Brian, J. I. Parasites in Biodiversity Conservation: Friend or Foe? </w:t>
      </w:r>
      <w:r w:rsidRPr="006354E9">
        <w:rPr>
          <w:rFonts w:ascii="Calibri" w:hAnsi="Calibri" w:cs="Calibri"/>
          <w:i/>
          <w:iCs/>
          <w:noProof/>
          <w:szCs w:val="24"/>
        </w:rPr>
        <w:t>Trends Parasitol.</w:t>
      </w:r>
      <w:r w:rsidRPr="006354E9">
        <w:rPr>
          <w:rFonts w:ascii="Calibri" w:hAnsi="Calibri" w:cs="Calibri"/>
          <w:noProof/>
          <w:szCs w:val="24"/>
        </w:rPr>
        <w:t xml:space="preserve"> </w:t>
      </w:r>
      <w:r w:rsidRPr="006354E9">
        <w:rPr>
          <w:rFonts w:ascii="Calibri" w:hAnsi="Calibri" w:cs="Calibri"/>
          <w:b/>
          <w:bCs/>
          <w:noProof/>
          <w:szCs w:val="24"/>
        </w:rPr>
        <w:t>2023</w:t>
      </w:r>
      <w:r w:rsidRPr="006354E9">
        <w:rPr>
          <w:rFonts w:ascii="Calibri" w:hAnsi="Calibri" w:cs="Calibri"/>
          <w:noProof/>
          <w:szCs w:val="24"/>
        </w:rPr>
        <w:t xml:space="preserve">, </w:t>
      </w:r>
      <w:r w:rsidRPr="006354E9">
        <w:rPr>
          <w:rFonts w:ascii="Calibri" w:hAnsi="Calibri" w:cs="Calibri"/>
          <w:i/>
          <w:iCs/>
          <w:noProof/>
          <w:szCs w:val="24"/>
        </w:rPr>
        <w:t>39</w:t>
      </w:r>
      <w:r w:rsidRPr="006354E9">
        <w:rPr>
          <w:rFonts w:ascii="Calibri" w:hAnsi="Calibri" w:cs="Calibri"/>
          <w:noProof/>
          <w:szCs w:val="24"/>
        </w:rPr>
        <w:t xml:space="preserve"> (8), 618–621. https://doi.org/10.1016/j.pt.2023.05.005.</w:t>
      </w:r>
    </w:p>
    <w:p w14:paraId="34AA2825" w14:textId="77777777" w:rsidR="006354E9" w:rsidRPr="006354E9" w:rsidRDefault="006354E9" w:rsidP="006354E9">
      <w:pPr>
        <w:widowControl w:val="0"/>
        <w:autoSpaceDE w:val="0"/>
        <w:autoSpaceDN w:val="0"/>
        <w:adjustRightInd w:val="0"/>
        <w:spacing w:line="240" w:lineRule="auto"/>
        <w:ind w:left="640" w:hanging="640"/>
        <w:rPr>
          <w:rFonts w:ascii="Calibri" w:hAnsi="Calibri" w:cs="Calibri"/>
          <w:noProof/>
        </w:rPr>
      </w:pPr>
      <w:r w:rsidRPr="006354E9">
        <w:rPr>
          <w:rFonts w:ascii="Calibri" w:hAnsi="Calibri" w:cs="Calibri"/>
          <w:noProof/>
          <w:szCs w:val="24"/>
        </w:rPr>
        <w:t>(20)</w:t>
      </w:r>
      <w:r w:rsidRPr="006354E9">
        <w:rPr>
          <w:rFonts w:ascii="Calibri" w:hAnsi="Calibri" w:cs="Calibri"/>
          <w:noProof/>
          <w:szCs w:val="24"/>
        </w:rPr>
        <w:tab/>
        <w:t xml:space="preserve">Frainer, A.; McKie, B. G.; Amundsen, P.-A.; Knudsen, R.; Lafferty, K. D. Parasitism and the Biodiversity-Functioning Relationship. </w:t>
      </w:r>
      <w:r w:rsidRPr="006354E9">
        <w:rPr>
          <w:rFonts w:ascii="Calibri" w:hAnsi="Calibri" w:cs="Calibri"/>
          <w:i/>
          <w:iCs/>
          <w:noProof/>
          <w:szCs w:val="24"/>
        </w:rPr>
        <w:t>Trends Ecol. Evol.</w:t>
      </w:r>
      <w:r w:rsidRPr="006354E9">
        <w:rPr>
          <w:rFonts w:ascii="Calibri" w:hAnsi="Calibri" w:cs="Calibri"/>
          <w:noProof/>
          <w:szCs w:val="24"/>
        </w:rPr>
        <w:t xml:space="preserve"> </w:t>
      </w:r>
      <w:r w:rsidRPr="006354E9">
        <w:rPr>
          <w:rFonts w:ascii="Calibri" w:hAnsi="Calibri" w:cs="Calibri"/>
          <w:b/>
          <w:bCs/>
          <w:noProof/>
          <w:szCs w:val="24"/>
        </w:rPr>
        <w:t>2018</w:t>
      </w:r>
      <w:r w:rsidRPr="006354E9">
        <w:rPr>
          <w:rFonts w:ascii="Calibri" w:hAnsi="Calibri" w:cs="Calibri"/>
          <w:noProof/>
          <w:szCs w:val="24"/>
        </w:rPr>
        <w:t xml:space="preserve">, </w:t>
      </w:r>
      <w:r w:rsidRPr="006354E9">
        <w:rPr>
          <w:rFonts w:ascii="Calibri" w:hAnsi="Calibri" w:cs="Calibri"/>
          <w:i/>
          <w:iCs/>
          <w:noProof/>
          <w:szCs w:val="24"/>
        </w:rPr>
        <w:t>33</w:t>
      </w:r>
      <w:r w:rsidRPr="006354E9">
        <w:rPr>
          <w:rFonts w:ascii="Calibri" w:hAnsi="Calibri" w:cs="Calibri"/>
          <w:noProof/>
          <w:szCs w:val="24"/>
        </w:rPr>
        <w:t xml:space="preserve"> (4), 260–268. https://doi.org/10.1016/j.tree.2018.01.011.</w:t>
      </w:r>
    </w:p>
    <w:p w14:paraId="34CF3555" w14:textId="577F9FEB" w:rsidR="006354E9" w:rsidRDefault="006354E9">
      <w:r>
        <w:fldChar w:fldCharType="end"/>
      </w:r>
    </w:p>
    <w:sectPr w:rsidR="00635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wtDQ3NDe3NDYwMbRU0lEKTi0uzszPAykwrAUAel7vrSwAAAA="/>
  </w:docVars>
  <w:rsids>
    <w:rsidRoot w:val="006354E9"/>
    <w:rsid w:val="006354E9"/>
    <w:rsid w:val="0083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AAC6"/>
  <w15:chartTrackingRefBased/>
  <w15:docId w15:val="{93D6104E-287E-463A-89E9-011449B5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DC522-DD1E-4C6E-AB99-BC3980C8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4171</Words>
  <Characters>23780</Characters>
  <Application>Microsoft Office Word</Application>
  <DocSecurity>0</DocSecurity>
  <Lines>198</Lines>
  <Paragraphs>55</Paragraphs>
  <ScaleCrop>false</ScaleCrop>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2023-12-02T19:41:00Z</dcterms:created>
  <dcterms:modified xsi:type="dcterms:W3CDTF">2023-12-02T19:44:00Z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http://www.zotero.org/styles/acs-applied-energy-materials</vt:lpwstr>
  </property>
  <property fmtid="{D5CDD505-2E9C-101B-9397-08002B2CF9AE}" pid="3" name="Mendeley Recent Style Name 0_1">
    <vt:lpwstr>ACS Applied Energy Materials</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http://www.zotero.org/styles/dstu-8302-2015</vt:lpwstr>
  </property>
  <property fmtid="{D5CDD505-2E9C-101B-9397-08002B2CF9AE}" pid="11" name="Mendeley Recent Style Name 4_1">
    <vt:lpwstr>DSTU 8302-2015</vt:lpwstr>
  </property>
  <property fmtid="{D5CDD505-2E9C-101B-9397-08002B2CF9AE}" pid="12" name="Mendeley Recent Style Id 5_1">
    <vt:lpwstr>http://www.zotero.org/styles/data-in-brief</vt:lpwstr>
  </property>
  <property fmtid="{D5CDD505-2E9C-101B-9397-08002B2CF9AE}" pid="13" name="Mendeley Recent Style Name 5_1">
    <vt:lpwstr>Data in Brief</vt:lpwstr>
  </property>
  <property fmtid="{D5CDD505-2E9C-101B-9397-08002B2CF9AE}" pid="14" name="Mendeley Recent Style Id 6_1">
    <vt:lpwstr>http://www.zotero.org/styles/ecography</vt:lpwstr>
  </property>
  <property fmtid="{D5CDD505-2E9C-101B-9397-08002B2CF9AE}" pid="15" name="Mendeley Recent Style Name 6_1">
    <vt:lpwstr>Ecography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http://www.zotero.org/styles/international-journal-for-parasitology</vt:lpwstr>
  </property>
  <property fmtid="{D5CDD505-2E9C-101B-9397-08002B2CF9AE}" pid="19" name="Mendeley Recent Style Name 8_1">
    <vt:lpwstr>International Journal for Parasitology</vt:lpwstr>
  </property>
  <property fmtid="{D5CDD505-2E9C-101B-9397-08002B2CF9AE}" pid="20" name="Mendeley Recent Style Id 9_1">
    <vt:lpwstr>http://www.zotero.org/styles/norsk-apa-manual</vt:lpwstr>
  </property>
  <property fmtid="{D5CDD505-2E9C-101B-9397-08002B2CF9AE}" pid="21" name="Mendeley Recent Style Name 9_1">
    <vt:lpwstr>Norsk APA-manual - APA 7th edition (author-date)</vt:lpwstr>
  </property>
  <property fmtid="{D5CDD505-2E9C-101B-9397-08002B2CF9AE}" pid="22" name="Mendeley Document_1">
    <vt:lpwstr>True</vt:lpwstr>
  </property>
  <property fmtid="{D5CDD505-2E9C-101B-9397-08002B2CF9AE}" pid="23" name="Mendeley Citation Style_1">
    <vt:lpwstr>http://www.zotero.org/styles/acs-applied-energy-materials</vt:lpwstr>
  </property>
  <property fmtid="{D5CDD505-2E9C-101B-9397-08002B2CF9AE}" pid="24" name="Mendeley Unique User Id_1">
    <vt:lpwstr>363a42f6-06e9-3dbf-8dbf-229bdb7648cc</vt:lpwstr>
  </property>
</Properties>
</file>