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center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</w:pPr>
      <w:bookmarkStart w:id="0" w:name="_GoBack"/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  <w:t>Теми індивідуального завдання з дисципліни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</w:pP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Значення Міжнародних стандартів бухгалтерського обліку та фінансової звітності, порядок їх розробки та впровадження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виносяться питання: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1.Статус МСБО та їх застосування.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2.Процес розробки МСБО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Облікова політика: мета, завдання, форма представлення за МСФЗ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роботу виносяться питання: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Виклад облікової політики.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Зміни в обліковій політиці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 Облік довгострокових активів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за МСБО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виноситься питання: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Визнання, оцінка, відтворення вартості, визнання збитків, дисклозура.</w:t>
      </w:r>
    </w:p>
    <w:p>
      <w:pPr>
        <w:keepNext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11"/>
          <w:rFonts w:hint="default" w:ascii="Times New Roman" w:hAnsi="Times New Roman" w:cs="Times New Roman"/>
          <w:iCs/>
          <w:sz w:val="24"/>
          <w:szCs w:val="24"/>
        </w:rPr>
        <w:t>Розкриття інформації про довгострокові активи у фінансовій звітності</w:t>
      </w:r>
      <w:r>
        <w:rPr>
          <w:rStyle w:val="11"/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за МСФЗ.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 Облік грошових коштів та їх еквівалентів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за МСБО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виноситься питання: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Визначення фінансових інструментів, їх види.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Контроль руху грошових коштів.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11"/>
          <w:rFonts w:hint="default" w:ascii="Times New Roman" w:hAnsi="Times New Roman" w:cs="Times New Roman"/>
          <w:iCs/>
          <w:sz w:val="24"/>
          <w:szCs w:val="24"/>
        </w:rPr>
        <w:t xml:space="preserve">Розкриття інформації про </w:t>
      </w:r>
      <w:r>
        <w:rPr>
          <w:rStyle w:val="11"/>
          <w:rFonts w:hint="default" w:ascii="Times New Roman" w:hAnsi="Times New Roman" w:cs="Times New Roman"/>
          <w:iCs/>
          <w:sz w:val="24"/>
          <w:szCs w:val="24"/>
          <w:lang w:val="uk-UA"/>
        </w:rPr>
        <w:t>рух горошових коштів</w:t>
      </w:r>
      <w:r>
        <w:rPr>
          <w:rStyle w:val="11"/>
          <w:rFonts w:hint="default" w:ascii="Times New Roman" w:hAnsi="Times New Roman" w:cs="Times New Roman"/>
          <w:iCs/>
          <w:sz w:val="24"/>
          <w:szCs w:val="24"/>
        </w:rPr>
        <w:t xml:space="preserve"> у фінансовій звітності</w:t>
      </w:r>
      <w:r>
        <w:rPr>
          <w:rStyle w:val="11"/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за МСФЗ.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 Облік запасів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за МСБО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виноситься питання:</w:t>
      </w: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Визнання, вартість запасів,амортизація запасів, оцінка збитків.</w:t>
      </w: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Розкриття інформації про запаси у Примітках до фінансових звітів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 xml:space="preserve"> за МСФЗ.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 Облік власного капіталу та зобов’язань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за МСБО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роботу виноситься питання: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1.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Класифікація капітал</w:t>
      </w:r>
      <w:r>
        <w:rPr>
          <w:rFonts w:hint="default" w:ascii="Times New Roman" w:hAnsi="Times New Roman" w:cs="Times New Roman"/>
          <w:sz w:val="24"/>
          <w:szCs w:val="24"/>
          <w:lang w:val="uk-UA" w:eastAsia="uk-UA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, значення, облік, оцінка.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2.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Розкриття інформації про власний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 xml:space="preserve"> капітал та зобов’язання у фінансовій звітності за МСФЗ.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Зобов’язання та виплати працівникам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роботу виносяться питання: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Накопичувальні компенсації.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Застраховані виплати.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N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Розкриття інформації 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 xml:space="preserve"> у фінансовій звітності за МСФЗ.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 Сутність та вимоги до складання фінансової звітності за МСФЗ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виноситься питання:</w:t>
      </w:r>
    </w:p>
    <w:p>
      <w:pPr>
        <w:pStyle w:val="9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b w:val="0"/>
          <w:bCs w:val="0"/>
          <w:sz w:val="24"/>
          <w:szCs w:val="24"/>
        </w:rPr>
        <w:t>1. Призначення основних компонентів фінансової звітності.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Тема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Фінансова звітність за міжнародними стандартами та її характеристика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  роботу виноситься питання: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1. Додатковий звіт про фінансовий стан на початок порівняльного періоду.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center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  <w:r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  <w:t>ПРИКЛАД ОФОРМЛЕННЯ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uk-U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uk-UA"/>
        </w:rPr>
        <w:t>Індивідуальне завдання з дисципліни “Фінансова звітність за МСФЗ” на тему: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8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2" w:firstLineChars="20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Значення Міжнародних стандартів бухгалтерського обліку та фінансової звітності, порядок їх розробки та впровадження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  <w:t>ВСТУП.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uk-UA"/>
        </w:rPr>
        <w:t>..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(мінімальний обсяг – 1800 знаків з пробілами).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  <w:t xml:space="preserve">Постановка проблеми. 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  <w:t>Аналіз останніх досліджень і публікацій.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Формулювання цілей дослідження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(постановка завдання).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Метою дослідження є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...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 дослідження. … 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Висновки та перспективи подальших досліджень. …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2" w:firstLineChars="200"/>
        <w:jc w:val="both"/>
        <w:textAlignment w:val="auto"/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 w:eastAsia="zh-CN" w:bidi="ar"/>
        </w:rPr>
        <w:t>Список використаних джерел</w:t>
      </w:r>
    </w:p>
    <w:p>
      <w:pPr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1. Фінансово-економічна безпека: теоретико-правові аспекти. навч.посіб. / кол.авт. Резворович К.Р. Юнін О. С., Круглова О. О. та ін. Дніпро : Видавець Біла К. О., 2019. 195 с. </w:t>
      </w:r>
    </w:p>
    <w:p>
      <w:pPr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2. Соломіна Г.В. Забезпечення фінансово–економічної безпеки підприємництва: навчальний посібник. Дніпро: ДДУВС, 2018. 234 с.</w:t>
      </w: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1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 w:eastAsiaTheme="minorEastAsia"/>
          <w:b/>
          <w:i/>
          <w:iCs/>
          <w:kern w:val="0"/>
          <w:sz w:val="24"/>
          <w:szCs w:val="24"/>
          <w:lang w:val="uk-UA" w:eastAsia="zh-CN" w:bidi="ar-SA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chool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4EFC8"/>
    <w:multiLevelType w:val="singleLevel"/>
    <w:tmpl w:val="12B4EFC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4F4C91"/>
    <w:multiLevelType w:val="multilevel"/>
    <w:tmpl w:val="1C4F4C91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239ABC6"/>
    <w:multiLevelType w:val="singleLevel"/>
    <w:tmpl w:val="3239ABC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B7A6B93"/>
    <w:multiLevelType w:val="multilevel"/>
    <w:tmpl w:val="6B7A6B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472713"/>
    <w:multiLevelType w:val="multilevel"/>
    <w:tmpl w:val="70472713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605C3"/>
    <w:rsid w:val="00E97B57"/>
    <w:rsid w:val="06D2293F"/>
    <w:rsid w:val="09283CBE"/>
    <w:rsid w:val="28C605C3"/>
    <w:rsid w:val="48B64A21"/>
    <w:rsid w:val="588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ody Text 2"/>
    <w:basedOn w:val="1"/>
    <w:qFormat/>
    <w:uiPriority w:val="0"/>
    <w:pPr>
      <w:suppressAutoHyphens/>
      <w:spacing w:after="120" w:line="480" w:lineRule="auto"/>
    </w:pPr>
    <w:rPr>
      <w:sz w:val="18"/>
      <w:szCs w:val="20"/>
      <w:lang w:val="uk-UA" w:eastAsia="ar-SA"/>
    </w:rPr>
  </w:style>
  <w:style w:type="paragraph" w:styleId="9">
    <w:name w:val="Body Text Indent"/>
    <w:basedOn w:val="1"/>
    <w:qFormat/>
    <w:uiPriority w:val="0"/>
    <w:pPr>
      <w:numPr>
        <w:ilvl w:val="0"/>
        <w:numId w:val="0"/>
      </w:numPr>
      <w:ind w:left="360" w:hanging="360"/>
      <w:jc w:val="both"/>
    </w:pPr>
    <w:rPr>
      <w:sz w:val="20"/>
      <w:szCs w:val="20"/>
      <w:lang w:val="uk-UA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1">
    <w:name w:val="submenu-tabl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2024-02-03T15:34:00Z</dcterms:created>
  <dc:creator>User</dc:creator>
  <cp:lastModifiedBy>наталья сейсеба�</cp:lastModifiedBy>
  <dcterms:modified xsi:type="dcterms:W3CDTF">2024-03-13T13:37:13Z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5119DD23EF1E4C739639746BDD9D483A_13</vt:lpwstr>
  </property>
</Properties>
</file>