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BA270" w14:textId="457FE4EF" w:rsidR="008C1EB0" w:rsidRDefault="008C1EB0" w:rsidP="00F461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 з МФ</w:t>
      </w:r>
    </w:p>
    <w:p w14:paraId="73FF13B9" w14:textId="7208679B" w:rsidR="00F461F0" w:rsidRDefault="00F461F0" w:rsidP="00F461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наукових досліджень</w:t>
      </w:r>
    </w:p>
    <w:p w14:paraId="334E998B" w14:textId="77777777" w:rsidR="008C1EB0" w:rsidRPr="0050682D" w:rsidRDefault="008C1EB0" w:rsidP="008C1EB0">
      <w:pPr>
        <w:spacing w:after="5" w:line="247" w:lineRule="auto"/>
        <w:ind w:left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Світова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валютна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система,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її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функції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головне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завдання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69653DCA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2.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Криза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валютної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системи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: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поняття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види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6C00557B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3.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Європейська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валютна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система: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поняття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принципи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, характеристика.</w:t>
      </w:r>
    </w:p>
    <w:p w14:paraId="63DC4D7D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4.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Фінансові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ресурси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світового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господарства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механізм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їxперерозподілу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15958D5A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5.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фінансові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активи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їx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властивості</w:t>
      </w:r>
      <w:proofErr w:type="spellEnd"/>
    </w:p>
    <w:p w14:paraId="255C807A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6.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Світовий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фінансовий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ринок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.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Сутність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структура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міжнародного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фінансового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ринку.</w:t>
      </w:r>
    </w:p>
    <w:p w14:paraId="68B9866F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7.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Світові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фінансові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центри :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поняття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стадії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розвитку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необхідні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елементи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основні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умови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функціонування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3067406B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8.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Структура валютного ринку,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об'єми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сучасні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тенденції</w:t>
      </w:r>
      <w:proofErr w:type="spellEnd"/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розвитку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валютного ринку.</w:t>
      </w:r>
    </w:p>
    <w:p w14:paraId="041F1886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9.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Міжнародний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кредит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Методи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мінімізації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ризиків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при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міжнародному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кредитуванні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37FC8361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10.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Синдикований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кредит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етапи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розвитку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ринку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синдикованих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кредитів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6D48EAA4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11.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Іноземні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облігації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єврооблігації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.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Порівняльна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характеристика.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Особливості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функціонування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ринку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іноземних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облігацій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215E7D95" w14:textId="77777777" w:rsidR="008C1EB0" w:rsidRPr="0050682D" w:rsidRDefault="008C1EB0" w:rsidP="008C1EB0">
      <w:pPr>
        <w:pStyle w:val="a4"/>
        <w:numPr>
          <w:ilvl w:val="0"/>
          <w:numId w:val="3"/>
        </w:numPr>
        <w:spacing w:after="5" w:line="247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Ринок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деривативів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: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інструменти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характеристика.</w:t>
      </w:r>
    </w:p>
    <w:p w14:paraId="4104751A" w14:textId="77777777" w:rsidR="008C1EB0" w:rsidRPr="0050682D" w:rsidRDefault="008C1EB0" w:rsidP="008C1EB0">
      <w:pPr>
        <w:spacing w:after="5" w:line="247" w:lineRule="auto"/>
        <w:ind w:firstLine="39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13.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Пряме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зарубіжне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інвестування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ТНК: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визначення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мотивація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ризики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630D3438" w14:textId="77777777" w:rsidR="008C1EB0" w:rsidRPr="0050682D" w:rsidRDefault="008C1EB0" w:rsidP="008C1EB0">
      <w:pPr>
        <w:spacing w:after="5" w:line="247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Міри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по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регулюванню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регіонального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ризику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ТНК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припрямому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зарубіжному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інвестуванні.Система</w:t>
      </w:r>
      <w:proofErr w:type="spellEnd"/>
      <w:proofErr w:type="gram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контролю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регулювання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грошових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операцій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ТНК.</w:t>
      </w:r>
    </w:p>
    <w:p w14:paraId="0C993704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14.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Характеристика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варіантів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стратегій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хеджування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валютнихризиків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ТНК.</w:t>
      </w:r>
    </w:p>
    <w:p w14:paraId="6CE052CB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15.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Характеристика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ринків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інвестицій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74D51461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16.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Ведучі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ринки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акцій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2D7BB6F7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17.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Порівняння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світових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ринків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облігацій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акцій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7E26E098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18.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Ринки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акцій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країн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третього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світу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34831045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19.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Валютно-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фінансові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платіжні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умови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операцій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2313F405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20.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Криза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світової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заборгованості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. Характеристика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стадійкриз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світової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заборгованості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4F852C32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21.</w:t>
      </w:r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Роль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міжнародних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фінансових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організацій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в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регулюванні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зовнішнього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боргу.</w:t>
      </w:r>
    </w:p>
    <w:p w14:paraId="42FD65D6" w14:textId="77777777" w:rsidR="008C1EB0" w:rsidRPr="0050682D" w:rsidRDefault="008C1EB0" w:rsidP="008C1EB0">
      <w:pPr>
        <w:spacing w:after="5" w:line="247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  <w:t>22.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Реструктуризація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зовнішнього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боргу та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традиційний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механізм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реструктуризації</w:t>
      </w:r>
      <w:proofErr w:type="spellEnd"/>
      <w:r w:rsidRPr="005068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</w:p>
    <w:p w14:paraId="0E389D42" w14:textId="77777777" w:rsidR="008C1EB0" w:rsidRPr="0050682D" w:rsidRDefault="008C1EB0" w:rsidP="008C1EB0">
      <w:pPr>
        <w:spacing w:after="5" w:line="247" w:lineRule="auto"/>
        <w:ind w:left="956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uk-UA" w:eastAsia="ru-RU"/>
        </w:rPr>
      </w:pPr>
    </w:p>
    <w:p w14:paraId="2D009387" w14:textId="77777777" w:rsidR="008C1EB0" w:rsidRPr="00491354" w:rsidRDefault="008C1EB0" w:rsidP="00F461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124CB4" w14:textId="77777777" w:rsidR="00FA3900" w:rsidRPr="00FA3900" w:rsidRDefault="00FA3900" w:rsidP="00FA390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39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має складати не менше 6 сторінок формату А4, міжрядковий  інтервал 1,5, поля верхнє, нижнє по 2 см, праве – 2,5, ліве 1 см, шрифт 14 </w:t>
      </w:r>
      <w:proofErr w:type="spellStart"/>
      <w:r w:rsidRPr="00FA39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Times</w:t>
      </w:r>
      <w:proofErr w:type="spellEnd"/>
      <w:r w:rsidRPr="00FA39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3900">
        <w:rPr>
          <w:rFonts w:ascii="Times New Roman" w:eastAsia="Calibri" w:hAnsi="Times New Roman" w:cs="Times New Roman"/>
          <w:sz w:val="28"/>
          <w:szCs w:val="28"/>
          <w:lang w:val="uk-UA"/>
        </w:rPr>
        <w:t>New</w:t>
      </w:r>
      <w:proofErr w:type="spellEnd"/>
      <w:r w:rsidRPr="00FA39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3900">
        <w:rPr>
          <w:rFonts w:ascii="Times New Roman" w:eastAsia="Calibri" w:hAnsi="Times New Roman" w:cs="Times New Roman"/>
          <w:sz w:val="28"/>
          <w:szCs w:val="28"/>
          <w:lang w:val="uk-UA"/>
        </w:rPr>
        <w:t>Roman</w:t>
      </w:r>
      <w:proofErr w:type="spellEnd"/>
      <w:r w:rsidRPr="00FA3900">
        <w:rPr>
          <w:rFonts w:ascii="Times New Roman" w:eastAsia="Calibri" w:hAnsi="Times New Roman" w:cs="Times New Roman"/>
          <w:sz w:val="28"/>
          <w:szCs w:val="28"/>
          <w:lang w:val="uk-UA"/>
        </w:rPr>
        <w:t>, обов'язково вказуючи посилання на джерела у квадратних дужках, висновки, список використаних джерел).</w:t>
      </w:r>
    </w:p>
    <w:p w14:paraId="5C1578E5" w14:textId="77777777" w:rsidR="00FA3900" w:rsidRPr="00FA3900" w:rsidRDefault="00FA3900" w:rsidP="00FA390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9858E8" w14:textId="77777777" w:rsidR="00B76ADD" w:rsidRPr="00FA3900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9794EC" w14:textId="77777777" w:rsidR="00B76ADD" w:rsidRPr="00FA3900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38F700" w14:textId="77777777" w:rsidR="00B76ADD" w:rsidRPr="00FA3900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68AFF6" w14:textId="77777777" w:rsidR="00B76ADD" w:rsidRPr="00FA3900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8335EF7" w14:textId="77777777" w:rsidR="00B76ADD" w:rsidRPr="00FA3900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5CEE11A" w14:textId="77777777" w:rsidR="00B76ADD" w:rsidRPr="00FA3900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B76ADD" w:rsidRPr="00FA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27F9D"/>
    <w:multiLevelType w:val="hybridMultilevel"/>
    <w:tmpl w:val="A704F34E"/>
    <w:lvl w:ilvl="0" w:tplc="697043AC">
      <w:start w:val="12"/>
      <w:numFmt w:val="decimal"/>
      <w:lvlText w:val="%1."/>
      <w:lvlJc w:val="left"/>
      <w:pPr>
        <w:ind w:left="7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91F1A3F"/>
    <w:multiLevelType w:val="hybridMultilevel"/>
    <w:tmpl w:val="1856FCE0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5488"/>
    <w:multiLevelType w:val="hybridMultilevel"/>
    <w:tmpl w:val="26EED3A8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1255">
    <w:abstractNumId w:val="2"/>
  </w:num>
  <w:num w:numId="2" w16cid:durableId="1769422434">
    <w:abstractNumId w:val="1"/>
  </w:num>
  <w:num w:numId="3" w16cid:durableId="75413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C1"/>
    <w:rsid w:val="000B3EEB"/>
    <w:rsid w:val="000B7655"/>
    <w:rsid w:val="00176482"/>
    <w:rsid w:val="002E4664"/>
    <w:rsid w:val="00491354"/>
    <w:rsid w:val="00600537"/>
    <w:rsid w:val="00623E79"/>
    <w:rsid w:val="008C1EB0"/>
    <w:rsid w:val="00B76ADD"/>
    <w:rsid w:val="00CC6621"/>
    <w:rsid w:val="00F461F0"/>
    <w:rsid w:val="00F503C1"/>
    <w:rsid w:val="00F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ECD"/>
  <w15:chartTrackingRefBased/>
  <w15:docId w15:val="{A870E097-859C-4E48-903A-AD8D837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9AD-30C2-4DBD-92C0-3F8842E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Александр Гришун</cp:lastModifiedBy>
  <cp:revision>9</cp:revision>
  <dcterms:created xsi:type="dcterms:W3CDTF">2018-08-29T15:38:00Z</dcterms:created>
  <dcterms:modified xsi:type="dcterms:W3CDTF">2024-03-15T13:36:00Z</dcterms:modified>
</cp:coreProperties>
</file>