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9E" w:rsidRPr="0096669E" w:rsidRDefault="0096669E" w:rsidP="0096669E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Розрахунок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ли</w:t>
      </w:r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тникової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системи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</w:pPr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При занижених розмірах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литникових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каналів збільшується тривалість процесу заливання форми, що призводить до остигання і зниження рідини розплаву, а отже, до шлюбу лиття через недолив або спай. При завищених розмірах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литникових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каналів розплав надходить у форму з високою швидкістю і з великим натиском, значний тиск на внутрішні поверхні форми. Внаслідок цього можуть статися обвали окремих (насамперед виступаючих) частин форми і виливок вийде зі спотвореною конфігурацією.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</w:pPr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Розм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іри елементів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литникової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системи розраховують залежно від маси одержуваних виливків, їх складності, товщини стін та інших чинників. Розрахунок ведуть за експериментально отриманими нормалями та формулами, які застосовні тільки для виливків певного характер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у. При розрахунку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литникової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системи для чавунних виливків спочатку визначають площу поперечного перерізу всіх живильників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Fпіт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та їх кількість, а переріз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шлакоуловлювача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Fшл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і стояка </w:t>
      </w:r>
      <w:proofErr w:type="spellStart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>Fст</w:t>
      </w:r>
      <w:proofErr w:type="spellEnd"/>
      <w:r w:rsidRPr="0096669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знаходять по виробленим практикою співвідношенням. Наведемо одне з таких співвідношень, що знайшло широке застосування у практиці: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2743200" cy="342265"/>
            <wp:effectExtent l="0" t="0" r="0" b="635"/>
            <wp:docPr id="8" name="Рисунок 8" descr="http://www.stroitelstvo-new.ru/formovka/img/formula/img18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itelstvo-new.ru/formovka/img/formula/img189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br/>
        <w:t>Площа поперечного перерізу всіх живильників для чавунних виливків масою від 0,5 кг до 25 т може бути визначена за формулою, запропонованою працівниками Ново-Краматорського машинобудівного заводу: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1722120" cy="370205"/>
            <wp:effectExtent l="0" t="0" r="0" b="0"/>
            <wp:docPr id="7" name="Рисунок 7" descr="http://www.stroitelstvo-new.ru/formovka/img/formula/img18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oitelstvo-new.ru/formovka/img/formula/img189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br/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де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Fпіт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- сума перерізів всіх живильників; Q – маса виливки, кг.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Кількість живильників призначається з урахуванням конфігурації виливки, можливості їх легкого відокремлення від виливки. При отриманні складних і тонкостінних виливків з великими площами (корпусів машин, кришок, плит і т. д.) форму необхідно залити через велику кількість живильників. Виливки, що мають невелику площу та значну довжину (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стійки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, важелі і т. д.), заливають, як правило, через один живильник, напрямок якого збігається з довгою стінкою виливка.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Приклад розрахунку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ли</w:t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тникової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системи. Визначимо розміри елементів так званої нормальної (з горизонтальним підведенням розплаву в порожнину по роз'єму форми) системи для виливки деталі «кронштейн» (рис. 1) масою 100 кг, що відливається із сірого чавуну.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uk-UA"/>
        </w:rPr>
        <w:lastRenderedPageBreak/>
        <w:drawing>
          <wp:inline distT="0" distB="0" distL="0" distR="0">
            <wp:extent cx="2115185" cy="1733550"/>
            <wp:effectExtent l="0" t="0" r="0" b="0"/>
            <wp:docPr id="6" name="Рисунок 6" descr="литниковая система для получения отливки детали  кроншт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тниковая система для получения отливки детали  кронште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 xml:space="preserve">Рис. 1.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Ли</w:t>
      </w:r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тникова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 xml:space="preserve"> система для отримання виливки деталі «кронштейн»: 1 —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литникова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 xml:space="preserve"> чаша, 2 — стояк, 3 —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шлакоуловлювач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, 4 — живильники, 5 — виливок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96669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Сумарна площа перерізу всіх живильників дорівнює: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4297045" cy="314325"/>
            <wp:effectExtent l="0" t="0" r="8255" b="9525"/>
            <wp:docPr id="5" name="Рисунок 5" descr="http://www.stroitelstvo-new.ru/formovka/img/formula/img18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roitelstvo-new.ru/formovka/img/formula/img189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Площа перерізу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шлакоуловлювача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та стояка знайдемо виходячи із співвідношення: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2984500" cy="342265"/>
            <wp:effectExtent l="0" t="0" r="6350" b="635"/>
            <wp:docPr id="4" name="Рисунок 4" descr="http://www.stroitelstvo-new.ru/formovka/img/formula/img18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oitelstvo-new.ru/formovka/img/formula/img189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br/>
        <w:t>Тоді</w:t>
      </w:r>
    </w:p>
    <w:p w:rsidR="0096669E" w:rsidRPr="0096669E" w:rsidRDefault="0096669E" w:rsidP="0096669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3343275" cy="600075"/>
            <wp:effectExtent l="0" t="0" r="9525" b="9525"/>
            <wp:docPr id="3" name="Рисунок 3" descr="http://www.stroitelstvo-new.ru/formovka/img/formula/img189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roitelstvo-new.ru/formovka/img/formula/img189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69E" w:rsidRPr="0096669E" w:rsidRDefault="0096669E" w:rsidP="00966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Діаметр стояка визначають із залежності:</w:t>
      </w:r>
    </w:p>
    <w:p w:rsidR="0096669E" w:rsidRPr="0096669E" w:rsidRDefault="0096669E" w:rsidP="00966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4459605" cy="583565"/>
            <wp:effectExtent l="0" t="0" r="0" b="6985"/>
            <wp:docPr id="2" name="Рисунок 2" descr="http://www.stroitelstvo-new.ru/formovka/img/formula/18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roitelstvo-new.ru/formovka/img/formula/189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Виходячи зі зручності підведення розплаву до виливка (по ходу) вибираємо два живильника, спрямованих в основу кронштейна. Площа перерізу кожного живильника буде:</w:t>
      </w:r>
    </w:p>
    <w:p w:rsidR="0096669E" w:rsidRPr="0096669E" w:rsidRDefault="0096669E" w:rsidP="00966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uk-UA"/>
        </w:rPr>
        <w:drawing>
          <wp:inline distT="0" distB="0" distL="0" distR="0">
            <wp:extent cx="2861310" cy="499110"/>
            <wp:effectExtent l="0" t="0" r="0" b="0"/>
            <wp:docPr id="1" name="Рисунок 1" descr="http://www.stroitelstvo-new.ru/formovka/img/formula/18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roitelstvo-new.ru/formovka/img/formula/189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br/>
      </w: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Розміри перерізу живильника та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шлакоуловлювача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призначаються відповідно до обраної трапецієподібної форми перерізу за нормалями (таблицями), складеними стосовно певних груп виливків.</w:t>
      </w:r>
    </w:p>
    <w:p w:rsidR="00EF6726" w:rsidRDefault="0096669E" w:rsidP="00966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lastRenderedPageBreak/>
        <w:t xml:space="preserve">Правильність розрахунку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литниковой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системи за умов виробництва контролюється на дослідних виливках. При утворенні дефектів, пов'язаних з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литниками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, збільшують або зменшують їх розміри в порівнянні з розрахунковими і таким чином зна</w:t>
      </w:r>
      <w:bookmarkStart w:id="0" w:name="_GoBack"/>
      <w:bookmarkEnd w:id="0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ходять розміри елементів </w:t>
      </w:r>
      <w:proofErr w:type="spellStart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литникової</w:t>
      </w:r>
      <w:proofErr w:type="spellEnd"/>
      <w:r w:rsidRPr="0096669E"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 xml:space="preserve"> системи, що забезпечують отримання якісних виливків.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636"/>
        <w:gridCol w:w="636"/>
        <w:gridCol w:w="636"/>
        <w:gridCol w:w="636"/>
        <w:gridCol w:w="636"/>
        <w:gridCol w:w="636"/>
      </w:tblGrid>
      <w:tr w:rsidR="0096669E" w:rsidRPr="0096669E" w:rsidTr="0096669E"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6669E" w:rsidRPr="0096669E" w:rsidTr="0096669E"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кг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31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2" w:type="dxa"/>
          </w:tcPr>
          <w:p w:rsidR="0096669E" w:rsidRPr="0096669E" w:rsidRDefault="0096669E" w:rsidP="009666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</w:tbl>
    <w:p w:rsidR="0096669E" w:rsidRPr="0096669E" w:rsidRDefault="0096669E" w:rsidP="0096669E">
      <w:pPr>
        <w:spacing w:before="100" w:beforeAutospacing="1" w:after="100" w:afterAutospacing="1" w:line="360" w:lineRule="auto"/>
        <w:jc w:val="both"/>
        <w:rPr>
          <w:lang w:val="uk-UA"/>
        </w:rPr>
      </w:pPr>
    </w:p>
    <w:sectPr w:rsidR="0096669E" w:rsidRPr="0096669E" w:rsidSect="0096669E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9E"/>
    <w:rsid w:val="0096669E"/>
    <w:rsid w:val="00E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E95"/>
  <w15:chartTrackingRefBased/>
  <w15:docId w15:val="{7B1D145D-5668-475E-98EC-FB73CD6A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69E"/>
    <w:rPr>
      <w:color w:val="0000FF"/>
      <w:u w:val="single"/>
    </w:rPr>
  </w:style>
  <w:style w:type="character" w:styleId="a5">
    <w:name w:val="Emphasis"/>
    <w:basedOn w:val="a0"/>
    <w:uiPriority w:val="20"/>
    <w:qFormat/>
    <w:rsid w:val="0096669E"/>
    <w:rPr>
      <w:i/>
      <w:iCs/>
    </w:rPr>
  </w:style>
  <w:style w:type="table" w:styleId="a6">
    <w:name w:val="Table Grid"/>
    <w:basedOn w:val="a1"/>
    <w:uiPriority w:val="39"/>
    <w:rsid w:val="0096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Metalurg</dc:creator>
  <cp:keywords/>
  <dc:description/>
  <cp:lastModifiedBy>Metalurg</cp:lastModifiedBy>
  <cp:revision>1</cp:revision>
  <dcterms:created xsi:type="dcterms:W3CDTF">2024-04-17T05:29:00Z</dcterms:created>
  <dcterms:modified xsi:type="dcterms:W3CDTF">2024-04-17T05:39:00Z</dcterms:modified>
</cp:coreProperties>
</file>