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Практична робота № 1 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b/>
          <w:sz w:val="28"/>
          <w:szCs w:val="28"/>
        </w:rPr>
        <w:t xml:space="preserve">Вступ у радіоекологію. 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b/>
          <w:sz w:val="28"/>
          <w:szCs w:val="28"/>
        </w:rPr>
        <w:t>Тема: Предмет та основні завдання науки радіоекологія. Норми радіаційної безпеки. Техніка безпеки при роботі з радіоактивними речовинами.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b/>
          <w:sz w:val="28"/>
          <w:szCs w:val="28"/>
        </w:rPr>
        <w:t>Мета заняття: ознайомлення з основними нормами радіаційної безпеки та технікою безпеки при роботі з радіоактивними речовинами.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b/>
          <w:sz w:val="28"/>
          <w:szCs w:val="28"/>
        </w:rPr>
        <w:t>Практичні завдання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Ознайомитись із державним документом НРБУ-97.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Опрацювати основні регламентні величини.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Вивчити категорії радіаційної небезпеки.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Вивчити критичні групи органів, які відносяться до найбільш чутливих.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b/>
          <w:sz w:val="28"/>
          <w:szCs w:val="28"/>
        </w:rPr>
        <w:t>Теоретичні відомості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Все живе на нашій планеті виникло, розвивалось й існує в умовах, іноді далеких від сприятливих. На живі організми діють перепади температур, атмосферні опади, рух повітря, зміни атмосферного тиску, чергування дня і ночі та інші фактори. Серед них особливе місце займає іонізуюча радіація, що утворюється за рахунок 25 природних радіоактивних елементів, таких як уран, радій, радон, торій та ін. Джерелом радіонуклідів є також Сонце та зірки Галактики. Це два джерела іонізуючого опромінення всього живого й неживого.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Протягом 18-19 ст., а особливо нині, природний радіаційний фон на Землі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підвищився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і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продовжує збільшуватись. Причиною є прогресуюча індустріалізація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всіх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розвинутих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країн,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внаслідок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якої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при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збільшенні добування металевих руд, вугілля, нафти, будівельних матеріалів, добрив та інших корисних копалин на її поверхню стали виймати у великих кількостях різні мінерали, що містять природні радіоактивні елементи. При спалюванні мінеральних джерел енергії, особливо таких як вугілля, торф, горючі сланці, в атмосферу потрапляє багато різних речовин, в тому числі й радіоактивних. В середині 20 ст. почали створюватися штучні джерела іонізуючих випромінювань. Початок їм поклало створення атомної бомби у США, а потім і в інших країнах, а також розвиток атомної енергетики. Під час атомних вибухів, роботи підприємств атомної енергетики, особливо при радіаційних аваріях, у навколишнє середовище можуть потрапляти великі кількості природних та штучних радіоактивних речовин. Це призводить до підвищення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радіаційного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фону,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появи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окремих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осередків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та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великих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територій з високим рівнем радіоактивності.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Своїм виникненням як самостійної науки радіобіологія зобов’язана трьом великим відкриттям у галузі фізики:</w:t>
      </w:r>
    </w:p>
    <w:p w:rsidR="00E0405A" w:rsidRPr="00E0405A" w:rsidRDefault="00E0405A" w:rsidP="00E0405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 xml:space="preserve">в 1895 р. німецьким фізиком Вільгельмом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</w:rPr>
        <w:t>Кондратом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</w:rPr>
        <w:t xml:space="preserve"> Рентгеном відкрито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</w:rPr>
        <w:t>Х-промені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</w:rPr>
        <w:t>, названі пізніше його ім'ям;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63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05A" w:rsidRPr="00E0405A" w:rsidRDefault="00E0405A" w:rsidP="00E0405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 xml:space="preserve">в 1896 р. французьким фізиком Антуаном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</w:rPr>
        <w:t>Анрі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</w:rPr>
        <w:t xml:space="preserve"> Бекерелем відкрито природну радіоактивність;</w:t>
      </w:r>
    </w:p>
    <w:p w:rsidR="00E0405A" w:rsidRPr="00E0405A" w:rsidRDefault="00E0405A" w:rsidP="00E0405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7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 xml:space="preserve">в 1898 р. французькими фізиками, подружжям Марією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</w:rPr>
        <w:t>Склодовською-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</w:rPr>
        <w:t xml:space="preserve"> Кюрі і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</w:rPr>
        <w:t>П’єром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</w:rPr>
        <w:t xml:space="preserve"> Кюрі радіоактивна властивість полонію та радію.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Всі вони були удостоєні Нобелівської премії – однієї з найпочесніших нагород світу за досягнення в галузі науки.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b/>
          <w:sz w:val="28"/>
          <w:szCs w:val="28"/>
        </w:rPr>
        <w:t>Радіобіологія, або радіаційна біологія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>, – це наука про дію іонізуючих випромінювань на живі організми та їх угруповання.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Основним завданням радіобіології є вивчення закономірностей дії іонізуючих випромінювань на живий організм з метою пошуку можливостей щодо керування його реакціями на цей фактор.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b/>
          <w:sz w:val="28"/>
          <w:szCs w:val="28"/>
        </w:rPr>
        <w:t xml:space="preserve">Радіоекологія, або радіаційна екологія, 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>– це окремий розділ радіобіології, який вивчає концентрацію і міграцію радіонуклідів в об’єктах навколишнього середовища та їх дію при надходженні у живі організми.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b/>
          <w:sz w:val="28"/>
          <w:szCs w:val="28"/>
        </w:rPr>
        <w:t xml:space="preserve">Радіаційна безпека 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>– це самостійний напрям, який на основі теоретичних положень і прикладних понять радіобіології та радіоекології розробляє способи оцінки і прогнозування радіаційної обстановки і дає рекомендації для приведення її до відповідності зі встановленими нормативами; це комплекс прикладних заходів, котрі забезпечують безпечну роботу спеціалістів з радіоактивними речовинами та іншими джерелами іонізуючих випромінювань.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 xml:space="preserve">Мета радіаційної безпеки – попередження радіоактивного забруднення навколишнього середовища, забезпечення захисту живих організмів, і в першу чергу людини, від дії іонізуючих випромінювань за рахунок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</w:rPr>
        <w:t>науково-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</w:rPr>
        <w:t xml:space="preserve"> обґрунтованих технічних, гігієнічних та організаційних заходів, які забезпечують розроблені на основі матеріалів Міжнародної комісії з радіаційного захисту (МКРЗ) і встановлені Національною комісією з радіаційного захисту України (НКРЗУ) санітарно-гігієнічні нормативи щодо меж дози зовнішнього і внутрішнього опромінення населення і персоналу, задіяного на радіаційно-ядерних об’єктах, викидів і скидів радіоактивних речовин у навколишнє середовище, допустимих рівнів вмісту радіонуклідів в окремих об’єктах довкілля, продукції сільського і лісового господарства, продуктах харчування і питній воді.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Норми радіаційної безпеки: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В основі нормування радіаційного впливу на організм людини лежать відомості про біологічну дію іонізуючих випромінювань. У результаті експериментів на тваринах та вивчення наслідків опромінення людей при ядерних вибухах, аваріях на підприємствах ядерно-паливного циклу, променевій терапії злоякісних пухлин та в інших екстремальних ситуаціях були встановлені реакції організму на гостре та хронічне опромінення – так звані радіобіологічні ефекти.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 xml:space="preserve">Прийнято виділяти дві основні групи радіобіологічних ефектів: </w:t>
      </w:r>
      <w:proofErr w:type="spellStart"/>
      <w:r w:rsidRPr="00E0405A">
        <w:rPr>
          <w:rFonts w:ascii="Times New Roman" w:eastAsia="Times New Roman" w:hAnsi="Times New Roman" w:cs="Times New Roman"/>
          <w:b/>
          <w:sz w:val="28"/>
          <w:szCs w:val="28"/>
        </w:rPr>
        <w:t>нестохастичні</w:t>
      </w:r>
      <w:proofErr w:type="spellEnd"/>
      <w:r w:rsidRPr="00E0405A">
        <w:rPr>
          <w:rFonts w:ascii="Times New Roman" w:eastAsia="Times New Roman" w:hAnsi="Times New Roman" w:cs="Times New Roman"/>
          <w:b/>
          <w:sz w:val="28"/>
          <w:szCs w:val="28"/>
        </w:rPr>
        <w:t xml:space="preserve"> та стохастичні.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</w:rPr>
        <w:t>Нестохастичні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</w:rPr>
        <w:t xml:space="preserve">, або детерміністичні, ефекти (радіаційна стимуляція, морфологічні зміни, променева хвороба, загибель організму) мають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</w:rPr>
        <w:t>дозову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</w:rPr>
        <w:t xml:space="preserve"> залежність і обов’язково проявляються в опроміненому організмі через відносно короткий термін. Із збільшенням дози опромінення зростає ступінь ураження органів і тканин – спостерігається ефект градуювання. Тобто залежно від величини і потужності дози розвивається той чи інший ефект.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 xml:space="preserve">Стохастичні, або імовірні (випадкові), ефекти належать до віддалених наслідків опромінення організму. В основі виникнення стохастичних ефектів лежать викликані опроміненням мутації та інші порушення в клітинних структурах. Вони виникають як у соматичних (від лат.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</w:rPr>
        <w:t>somatos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</w:rPr>
        <w:t xml:space="preserve"> – тіло), так і в статевих клітинах і можуть зумовити утворення в опроміненому організмі злоякісні пухлини, а у нащадків – аномалії розвитку та інші порушення, які передаються спадково (генетичні ефекти).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Міжнародною комісією з радіаційного захисту (МКРЗ) встановлюються відповідні коефіцієнти лінійного зв’язку між дозою опромінення людей і проявом стохастичних ефектів. Як правило, ці коефіцієнти виражають у вигляді додаткового виходу злоякісних пухлин та генетичних порушень і ступеня ризику загибелі організму від них. Офіційна статистика свідчить, що в промислово розвинутих країнах 17–25% населення хворіють на рак, а у 6– 10% новонароджених виявляються генетичні порушення.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b/>
          <w:sz w:val="28"/>
          <w:szCs w:val="28"/>
        </w:rPr>
        <w:t>Основні регламентні величини.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НРБУ-97 є основним державним документом, що встановлює систему радіаційно-гігієнічних регламентів для забезпечення прийнятних рівнів опромінення як для окремої людини, так і суспільства взагалі.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Метою НРБУ-97 є визначення основних вимог до: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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охорони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здоров'я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людини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від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можливої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шкоди,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що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пов'язана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з опроміненням від джерел іонізуючого випромінювання;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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безпечної експлуатації джерел іонізуючого випромінювання;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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охорони навколишнього середовища.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НРБУ-97 не поширюються на: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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опромінення від природного радіаційного фону;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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опромінення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умовах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повного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звільнення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практичної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діяльності (джерел іонізуючого випромінювання) від регулювання.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b/>
          <w:sz w:val="28"/>
          <w:szCs w:val="28"/>
        </w:rPr>
        <w:t>НРБУ-97 включають чотири групи радіаційно-гігієнічних регламентних величин: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Перша група – регламенти для контролю за практичною діяльністю, метою яких є додержання опромінення персоналу та населення на прийнятному для індивідууму та суспільства рівні, а також підтримання радіаційно-прийнятного стану навколишнього середовища та технології радіаційно-ядерних об’єктів. До цієї групи входять такі регламенти: ліміти доз та похідні рівні, що включають: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 xml:space="preserve">а) допустимі рівні; б) контрольні рівні. 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lastRenderedPageBreak/>
        <w:t>Друга група – регламенти, що мають за мету обмеження опромінення людини від медичних джерел. До цієї групи входять рекомендовані рівні.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Третя група – регламенти щодо відвернутої внаслідок втручань дози опромінення населення в умовах радіаційної аварії. До цієї групи входять: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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рівні втручань;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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рівні дії.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У межах цього документа рівень втручань – це рівень відвернутої дози опромінення, при перевищенні якої потрібно застосовувати конкретний контрзахід у разі аварійного чи хронічного опромінення.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Відвернута доза – це доза, яку передбачається відвернути за час дії контрзаходів, пов’язаних з цим втручанням.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Рівень дії – це величина, яка виражається у вигляді таких показників радіаційної обстановки, які можуть бути виміряні (потужність дози γ- випромінювання, об’ємна активність радіонуклідів у повітрі, вміст їх у продуктах харчування, щільність радіоактивного забруднення ґрунту та ін.). При перевищені встановлених показників розглядається питання про проведення втручань.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Четверта група – регламенти щодо відвернутої внаслідок втручань дози опромінення населення від техногенно-підсилених джерел природного походження (гранітні кар’єри, будівельні матеріали, мінеральні добрива тощо). До цієї групи входять: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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рівні втручань;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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рівні дій.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Нормами радіаційної безпеки встановлюються такі категорії осіб які зазнають опромінювання: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Категорія А (персонал) – особи, які постійно чи тимчасово працюють безпосередньо з джерелами іонізуючих випромінювань.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Категорія Б (персонал) – особи, які безпосередньо не зайняті роботою з джерелами іонізуючих випромінювань, але у зв'язку з розташуванням робочих місць в приміщеннях та на промислових майданчиках об'єктів з радіаційно-ядерними технологіями можуть отримувати додаткове опромінення.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Категорія В – все населення.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Особливості опромінення осіб категорії А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Особи, молодші за 18 років, не допускаються до роботи з джерелами іонізуючих випромінювань.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 xml:space="preserve">Для осіб, у яких річна ефективна доза опромінення може перевищити 10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</w:rPr>
        <w:t>мЗв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</w:rPr>
        <w:t xml:space="preserve"> на рік, вводиться обов’язковий індивідуальний дозиметричний контроль.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 xml:space="preserve">У разі небезпечних ситуацій (недопущення розвитку радіаційної аварії або при проведенні деяких технологічних операцій на радіаційно-ядерному об’єкті та ін.) для осіб категорії А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</w:rPr>
        <w:t>дозовий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</w:rPr>
        <w:t xml:space="preserve"> ліміт підвищується до 50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</w:rPr>
        <w:t>мЗв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</w:rPr>
        <w:t xml:space="preserve"> за 1 календарний рік.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 xml:space="preserve">Особи, які зазнали одноразового опромінення в дозах 100–250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</w:rPr>
        <w:t>мЗв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</w:rPr>
        <w:t xml:space="preserve">, мають бути виведені із зони опромінення і направлені на медичне 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lastRenderedPageBreak/>
        <w:t>обстеження.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Забороняється підвищене опромінення жінок до 45 років та чоловіків, молодших 30 років.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Особи з населення, які залучаються до проведення аварійних та рятувальних робіт, на цей період прирівнюються до категорії А.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За ступенем зниження чутливості до іонізуючого випромінювання встановлено 3 групи критичних органів, опромінення яких спричиняє найбільший збиток здоров'ю: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 xml:space="preserve">І – все тіло,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</w:rPr>
        <w:t>гонади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</w:rPr>
        <w:t xml:space="preserve"> (статеві залози), червоний кістковий мозок;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ІІ – щитовидна залоза, м'язи, жирова тканина, печінка, нирки, селезінка, шлунково-кишковий тракт, легені, кришталик очей;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III – кісткова тканина, шкіряний покрив, передпліччя, ступні.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В залежності від групи критичних органів для категорії А встановлена гранично допустима доза (ГДД) за рік: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ГДД – найбільше значення індивідуальної еквівалентної дози за рік, яка при рівномірному впливі протягом 50 років не викликає в стані здоров'я персоналу несприятливих змін, котрі виявляються сучасними методами.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 xml:space="preserve">Закрите джерело іонізуючих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</w:rPr>
        <w:t>випромінень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</w:rPr>
        <w:t xml:space="preserve"> – це джерело іонізуючих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</w:rPr>
        <w:t>випромінень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</w:rPr>
        <w:t>, принцип яких виключає попадання радіоактивних речовин в навколишнє середовище і передбачає умови їх експлуатації.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 xml:space="preserve">Відкрите джерело іонізуючих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</w:rPr>
        <w:t>випромінень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</w:rPr>
        <w:t xml:space="preserve"> – радіонуклідне джерело, при проведенні робіт з яким можливе надходження наявних радіонуклідів до навколишнього середовища: будь-яке джерело, що не підпадає під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</w:rPr>
        <w:t>ви-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</w:rPr>
        <w:t xml:space="preserve"> значення закритого джерела.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Референтний вік – це інтервал часу між моментом надходження радіонуклідів та віком 70 років.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</w:rPr>
        <w:t>Радіотоксичність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</w:rPr>
        <w:t xml:space="preserve"> – властивість радіоактивних ізотопів викликати патологічні зміни при надходженні їх в організм.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</w:rPr>
        <w:t>Радіотоксичність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</w:rPr>
        <w:t xml:space="preserve"> ізотопів залежить від ряду їх характеристик і факторів, головними з яких є такі: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вид радіоактивного перетворення;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середня енергія одного акту розпаду;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схема радіоактивного розпаду;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шляхи надходження радіоактивних речовин в організм;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5)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розподіл радіоактивних речовин по органах і системах;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6)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час перебування радіонукліда в організмі;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7)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тривалість часу надходження радіоактивних речовин в організм людини.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Шар половинного послаблення – це товщина будь-якої речовини, яка вдвічі знижує дозу проникаючої радіації.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proofErr w:type="spellStart"/>
      <w:r w:rsidRPr="00E0405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Організація</w:t>
      </w:r>
      <w:proofErr w:type="spellEnd"/>
      <w:r w:rsidRPr="00E0405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роботи</w:t>
      </w:r>
      <w:proofErr w:type="spellEnd"/>
      <w:r w:rsidRPr="00E0405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з </w:t>
      </w:r>
      <w:proofErr w:type="spellStart"/>
      <w:r w:rsidRPr="00E0405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радіоактивними</w:t>
      </w:r>
      <w:proofErr w:type="spellEnd"/>
      <w:r w:rsidRPr="00E0405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речовинами</w:t>
      </w:r>
      <w:proofErr w:type="spellEnd"/>
      <w:r w:rsidRPr="00E0405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E0405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джерелами</w:t>
      </w:r>
      <w:proofErr w:type="spellEnd"/>
      <w:r w:rsidRPr="00E0405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випромінювання</w:t>
      </w:r>
      <w:proofErr w:type="spellEnd"/>
      <w:r w:rsidRPr="00E0405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. 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При</w:t>
      </w:r>
      <w:proofErr w:type="gram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роботі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радіоактивними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речовинами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джерелами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іонізуючих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випромінювань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першочергове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правильна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безпеку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обслуговуючого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персоналу та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всього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цілому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Правильно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організувати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роботу з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радіоактивними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речовинами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означає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передбачити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комплекс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забезпечують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радіаційну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безпеку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 таких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gram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ідносяться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захист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зовнішніх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потоків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випромінювання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відповідне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планування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обробка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приміщень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відповідного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радіаційного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контролю та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санітарно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-пропускного режиму,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необхідних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умов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транспортування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радіоактивних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речовин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збору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захоронення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радіоактивних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відходів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індивідуального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залежності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річного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споживання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радіоактивних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речовин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поділяються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три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категорії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1) - з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річним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споживанням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100</w:t>
      </w:r>
      <w:proofErr w:type="gram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proofErr w:type="gram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і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2)- з </w:t>
      </w:r>
      <w:proofErr w:type="spellStart"/>
      <w:proofErr w:type="gram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proofErr w:type="gram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ічним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споживанням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10 до 100Кі, 3)- з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річним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споживанням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10Кі. На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обладнанні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контейнерах,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транспортних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засобах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приладах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апаратах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приміщеннях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призначених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радіоактивними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речовинами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джерелами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іонізуючих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випромінювань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повинні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буги знаки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радіаційної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небезпеки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Адм</w:t>
      </w:r>
      <w:proofErr w:type="gram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іністрація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повинна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розробити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детальні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інструкції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порядку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обліку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зберігання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видачі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джерел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випромінювання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збору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знищенню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радіоактивних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відходів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проведенню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радіаційного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дозиметричного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контролю.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працюючі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повинні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ознайомлені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цими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інструкціями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навчені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безпечним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методам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зобов'язані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скласти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відповідний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техмінімум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особи,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поступають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роботу,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повинні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проходити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попередній</w:t>
      </w:r>
      <w:proofErr w:type="spellEnd"/>
      <w:proofErr w:type="gram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потім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періодичні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медичні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обстеження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b/>
          <w:sz w:val="28"/>
          <w:szCs w:val="28"/>
        </w:rPr>
        <w:t>Теоретичні питання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Що таке радіобіологія та радіоекологія. Етапи розвитку даної науки?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Що таке норми радіаційної безпеки?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Що таке радіо токсичність та ГДД?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ab/>
        <w:t>Які Ви знаєте категорії радіаційної небезпеки?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proofErr w:type="spellStart"/>
      <w:r w:rsidRPr="00E0405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Завдання</w:t>
      </w:r>
      <w:proofErr w:type="spellEnd"/>
      <w:r w:rsidRPr="00E0405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для </w:t>
      </w:r>
      <w:proofErr w:type="spellStart"/>
      <w:r w:rsidRPr="00E0405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самостійної</w:t>
      </w:r>
      <w:proofErr w:type="spellEnd"/>
      <w:r w:rsidRPr="00E0405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роботи</w:t>
      </w:r>
      <w:proofErr w:type="spellEnd"/>
      <w:r w:rsidRPr="00E0405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(</w:t>
      </w:r>
      <w:proofErr w:type="spellStart"/>
      <w:proofErr w:type="gramStart"/>
      <w:r w:rsidRPr="00E0405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 w:rsidRPr="00E0405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ідготувати</w:t>
      </w:r>
      <w:proofErr w:type="spellEnd"/>
      <w:r w:rsidRPr="00E0405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до </w:t>
      </w:r>
      <w:proofErr w:type="spellStart"/>
      <w:r w:rsidRPr="00E0405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наступного</w:t>
      </w:r>
      <w:proofErr w:type="spellEnd"/>
      <w:r w:rsidRPr="00E0405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практичного </w:t>
      </w:r>
      <w:proofErr w:type="spellStart"/>
      <w:r w:rsidRPr="00E0405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заняття</w:t>
      </w:r>
      <w:proofErr w:type="spellEnd"/>
      <w:r w:rsidRPr="00E0405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0405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доповідь</w:t>
      </w:r>
      <w:proofErr w:type="spellEnd"/>
      <w:r w:rsidRPr="00E0405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): 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b/>
          <w:sz w:val="28"/>
          <w:szCs w:val="28"/>
        </w:rPr>
        <w:t>Завдання 1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>. Визначення джерел радіоактивного забруднення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Ознайомитися з основними джерелами радіації в Україні (природні, техногенні, аварійні).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Скласти перелік потенційно небезпечних об’єктів у своєму регіоні (АЕС, зони забруднення).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b/>
          <w:sz w:val="28"/>
          <w:szCs w:val="28"/>
        </w:rPr>
        <w:t>Завдання 2.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Аналіз впливу радіації на біосферу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 xml:space="preserve">Вивчити вплив іонізуючого випромінювання на рослини, тварин і 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lastRenderedPageBreak/>
        <w:t>людину.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>Навести приклади мутацій або змін у біоценозах після аварії на ЧАЕС.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b/>
          <w:sz w:val="28"/>
          <w:szCs w:val="28"/>
        </w:rPr>
        <w:t>Завдання 3.</w:t>
      </w:r>
      <w:r w:rsidRPr="00E0405A">
        <w:rPr>
          <w:rFonts w:ascii="Times New Roman" w:eastAsia="Times New Roman" w:hAnsi="Times New Roman" w:cs="Times New Roman"/>
          <w:sz w:val="28"/>
          <w:szCs w:val="28"/>
        </w:rPr>
        <w:t xml:space="preserve"> Досягнення у сільському господарстві, генетиці та селекції, які було зроблено з використанням радіації. </w:t>
      </w:r>
      <w:r>
        <w:rPr>
          <w:rFonts w:ascii="Times New Roman" w:eastAsia="Times New Roman" w:hAnsi="Times New Roman" w:cs="Times New Roman"/>
          <w:sz w:val="28"/>
          <w:szCs w:val="28"/>
        </w:rPr>
        <w:t>Виконати у вигляді короткої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доповіді.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843" w:right="70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b/>
          <w:sz w:val="28"/>
          <w:szCs w:val="28"/>
        </w:rPr>
        <w:t>Література:</w:t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843" w:right="70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05A" w:rsidRPr="00E0405A" w:rsidRDefault="00E0405A" w:rsidP="00E0405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84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</w:rPr>
        <w:t>Разанов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</w:rPr>
        <w:t xml:space="preserve"> С.Ф., </w:t>
      </w: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</w:rPr>
        <w:t>Врадій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</w:rPr>
        <w:t xml:space="preserve"> О.І. Методичні вказівки до виконання практичних робіт студентами. Вінниця: ВНАУ, 2020. 69 с. (Перевидання).</w:t>
      </w:r>
    </w:p>
    <w:p w:rsidR="00E0405A" w:rsidRPr="00E0405A" w:rsidRDefault="00E0405A" w:rsidP="00E0405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84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0405A">
        <w:rPr>
          <w:rFonts w:ascii="Times New Roman" w:eastAsia="Times New Roman" w:hAnsi="Times New Roman" w:cs="Times New Roman"/>
          <w:sz w:val="28"/>
          <w:szCs w:val="28"/>
        </w:rPr>
        <w:t>Приступа</w:t>
      </w:r>
      <w:proofErr w:type="spellEnd"/>
      <w:r w:rsidRPr="00E0405A">
        <w:rPr>
          <w:rFonts w:ascii="Times New Roman" w:eastAsia="Times New Roman" w:hAnsi="Times New Roman" w:cs="Times New Roman"/>
          <w:sz w:val="28"/>
          <w:szCs w:val="28"/>
        </w:rPr>
        <w:t xml:space="preserve"> І.В. Радіаційна екологія: Навчальний посібник для студентів ІІI курсу біологічного факультету спеціальності “Екологія та охорона навколишнього середовища”. – Запоріжжя: ЗНУ, 2007. – 95с.</w:t>
      </w:r>
    </w:p>
    <w:p w:rsidR="00E0405A" w:rsidRPr="00E0405A" w:rsidRDefault="00E0405A" w:rsidP="00E0405A">
      <w:pPr>
        <w:widowControl w:val="0"/>
        <w:tabs>
          <w:tab w:val="left" w:pos="7450"/>
        </w:tabs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05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0405A" w:rsidRPr="00E0405A" w:rsidRDefault="00E0405A" w:rsidP="00E0405A">
      <w:pPr>
        <w:widowControl w:val="0"/>
        <w:autoSpaceDE w:val="0"/>
        <w:autoSpaceDN w:val="0"/>
        <w:spacing w:after="0" w:line="240" w:lineRule="auto"/>
        <w:ind w:left="1502" w:right="7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05A" w:rsidRPr="00E0405A" w:rsidRDefault="00E0405A" w:rsidP="00E0405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DB3C69" w:rsidRDefault="00E0405A"/>
    <w:sectPr w:rsidR="00DB3C69" w:rsidSect="001A11B0">
      <w:pgSz w:w="11910" w:h="16840"/>
      <w:pgMar w:top="1040" w:right="140" w:bottom="1200" w:left="200" w:header="0" w:footer="9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6B57"/>
    <w:multiLevelType w:val="hybridMultilevel"/>
    <w:tmpl w:val="36860B48"/>
    <w:lvl w:ilvl="0" w:tplc="AF165004">
      <w:start w:val="1"/>
      <w:numFmt w:val="decimal"/>
      <w:lvlText w:val="%1."/>
      <w:lvlJc w:val="left"/>
      <w:pPr>
        <w:ind w:left="2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8" w:hanging="360"/>
      </w:pPr>
    </w:lvl>
    <w:lvl w:ilvl="2" w:tplc="0419001B" w:tentative="1">
      <w:start w:val="1"/>
      <w:numFmt w:val="lowerRoman"/>
      <w:lvlText w:val="%3."/>
      <w:lvlJc w:val="right"/>
      <w:pPr>
        <w:ind w:left="3868" w:hanging="180"/>
      </w:pPr>
    </w:lvl>
    <w:lvl w:ilvl="3" w:tplc="0419000F" w:tentative="1">
      <w:start w:val="1"/>
      <w:numFmt w:val="decimal"/>
      <w:lvlText w:val="%4."/>
      <w:lvlJc w:val="left"/>
      <w:pPr>
        <w:ind w:left="4588" w:hanging="360"/>
      </w:pPr>
    </w:lvl>
    <w:lvl w:ilvl="4" w:tplc="04190019" w:tentative="1">
      <w:start w:val="1"/>
      <w:numFmt w:val="lowerLetter"/>
      <w:lvlText w:val="%5."/>
      <w:lvlJc w:val="left"/>
      <w:pPr>
        <w:ind w:left="5308" w:hanging="360"/>
      </w:pPr>
    </w:lvl>
    <w:lvl w:ilvl="5" w:tplc="0419001B" w:tentative="1">
      <w:start w:val="1"/>
      <w:numFmt w:val="lowerRoman"/>
      <w:lvlText w:val="%6."/>
      <w:lvlJc w:val="right"/>
      <w:pPr>
        <w:ind w:left="6028" w:hanging="180"/>
      </w:pPr>
    </w:lvl>
    <w:lvl w:ilvl="6" w:tplc="0419000F" w:tentative="1">
      <w:start w:val="1"/>
      <w:numFmt w:val="decimal"/>
      <w:lvlText w:val="%7."/>
      <w:lvlJc w:val="left"/>
      <w:pPr>
        <w:ind w:left="6748" w:hanging="360"/>
      </w:pPr>
    </w:lvl>
    <w:lvl w:ilvl="7" w:tplc="04190019" w:tentative="1">
      <w:start w:val="1"/>
      <w:numFmt w:val="lowerLetter"/>
      <w:lvlText w:val="%8."/>
      <w:lvlJc w:val="left"/>
      <w:pPr>
        <w:ind w:left="7468" w:hanging="360"/>
      </w:pPr>
    </w:lvl>
    <w:lvl w:ilvl="8" w:tplc="0419001B" w:tentative="1">
      <w:start w:val="1"/>
      <w:numFmt w:val="lowerRoman"/>
      <w:lvlText w:val="%9."/>
      <w:lvlJc w:val="right"/>
      <w:pPr>
        <w:ind w:left="8188" w:hanging="180"/>
      </w:pPr>
    </w:lvl>
  </w:abstractNum>
  <w:abstractNum w:abstractNumId="1">
    <w:nsid w:val="36970F58"/>
    <w:multiLevelType w:val="hybridMultilevel"/>
    <w:tmpl w:val="8FA8A71C"/>
    <w:lvl w:ilvl="0" w:tplc="0419000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8" w:hanging="360"/>
      </w:pPr>
      <w:rPr>
        <w:rFonts w:ascii="Wingdings" w:hAnsi="Wingdings" w:hint="default"/>
      </w:rPr>
    </w:lvl>
  </w:abstractNum>
  <w:abstractNum w:abstractNumId="2">
    <w:nsid w:val="439F71F2"/>
    <w:multiLevelType w:val="hybridMultilevel"/>
    <w:tmpl w:val="5F222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05A"/>
    <w:rsid w:val="00017877"/>
    <w:rsid w:val="00686BB5"/>
    <w:rsid w:val="00E0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9598</Words>
  <Characters>5472</Characters>
  <Application>Microsoft Office Word</Application>
  <DocSecurity>0</DocSecurity>
  <Lines>45</Lines>
  <Paragraphs>30</Paragraphs>
  <ScaleCrop>false</ScaleCrop>
  <Company/>
  <LinksUpToDate>false</LinksUpToDate>
  <CharactersWithSpaces>15040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2025-09-08T22:52:00Z</dcterms:created>
  <dcterms:modified xsi:type="dcterms:W3CDTF">2025-09-08T22:53:00Z</dcterms:modified>
</cp:coreProperties>
</file>