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52" w:rsidRDefault="00F01352" w:rsidP="00F01352">
      <w:pPr>
        <w:jc w:val="both"/>
        <w:rPr>
          <w:sz w:val="25"/>
          <w:szCs w:val="25"/>
        </w:rPr>
      </w:pPr>
      <w:r>
        <w:rPr>
          <w:sz w:val="25"/>
          <w:szCs w:val="25"/>
        </w:rPr>
        <w:t>Семінар 3</w:t>
      </w:r>
      <w:bookmarkStart w:id="0" w:name="_GoBack"/>
      <w:bookmarkEnd w:id="0"/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Основні поняття філософії європейської політичної свідомості: «політичне буття» і «політична свідомість»; «політичний простір» і «політичний час»; «політична влада». </w:t>
      </w:r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Політична система. </w:t>
      </w:r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Політичні партії. </w:t>
      </w:r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Держава: поняття, ознаки, функції, різновиди. </w:t>
      </w:r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Державна політика і демократичне врядування. </w:t>
      </w:r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Зміст державної політики. </w:t>
      </w:r>
    </w:p>
    <w:p w:rsid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Належне врядування: сервісна держава й місцеве самоврядування. </w:t>
      </w:r>
    </w:p>
    <w:p w:rsidR="00F01352" w:rsidRPr="00F01352" w:rsidRDefault="00F01352" w:rsidP="00F0135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01352">
        <w:rPr>
          <w:sz w:val="25"/>
          <w:szCs w:val="25"/>
        </w:rPr>
        <w:t xml:space="preserve">Парламентаризм як підґрунтя політики народовладдя. </w:t>
      </w:r>
    </w:p>
    <w:p w:rsidR="00C84C48" w:rsidRPr="00F01352" w:rsidRDefault="00C84C48" w:rsidP="00F01352"/>
    <w:sectPr w:rsidR="00C84C48" w:rsidRPr="00F0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02EA"/>
    <w:multiLevelType w:val="hybridMultilevel"/>
    <w:tmpl w:val="226869C2"/>
    <w:lvl w:ilvl="0" w:tplc="83002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52"/>
    <w:rsid w:val="00C84C48"/>
    <w:rsid w:val="00F0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F612"/>
  <w15:chartTrackingRefBased/>
  <w15:docId w15:val="{1B81F4AC-222F-45D1-A476-A2343718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165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2023-11-06T07:54:00Z</dcterms:created>
  <dcterms:modified xsi:type="dcterms:W3CDTF">2023-11-06T07:55:00Z</dcterms:modified>
</cp:coreProperties>
</file>