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A6C" w:rsidRPr="00AD6A6C" w:rsidRDefault="006628FE" w:rsidP="00AD6A6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ІДЗ</w:t>
      </w:r>
      <w:bookmarkStart w:id="0" w:name="_GoBack"/>
      <w:bookmarkEnd w:id="0"/>
    </w:p>
    <w:p w:rsidR="00AD6A6C" w:rsidRPr="00AD6A6C" w:rsidRDefault="00AD6A6C" w:rsidP="00AD6A6C">
      <w:pPr>
        <w:spacing w:after="0" w:line="240" w:lineRule="auto"/>
        <w:contextualSpacing/>
        <w:jc w:val="center"/>
        <w:rPr>
          <w:rFonts w:ascii="Times New Roman" w:hAnsi="Times New Roman"/>
          <w:b/>
          <w:sz w:val="28"/>
          <w:szCs w:val="28"/>
          <w:lang w:val="uk-UA"/>
        </w:rPr>
      </w:pPr>
      <w:r w:rsidRPr="00AD6A6C">
        <w:rPr>
          <w:rFonts w:ascii="Times New Roman" w:hAnsi="Times New Roman"/>
          <w:b/>
          <w:sz w:val="28"/>
          <w:szCs w:val="28"/>
          <w:lang w:val="uk-UA"/>
        </w:rPr>
        <w:t xml:space="preserve">Визначення логістичної стратегії підприємства (ABC-аналіз) </w:t>
      </w:r>
    </w:p>
    <w:p w:rsidR="00AD6A6C" w:rsidRPr="00AD6A6C" w:rsidRDefault="00AD6A6C" w:rsidP="00AD6A6C">
      <w:pPr>
        <w:spacing w:after="0" w:line="240" w:lineRule="auto"/>
        <w:ind w:firstLine="426"/>
        <w:contextualSpacing/>
        <w:jc w:val="center"/>
        <w:rPr>
          <w:rFonts w:ascii="Times New Roman" w:hAnsi="Times New Roman"/>
          <w:i/>
          <w:sz w:val="28"/>
          <w:szCs w:val="28"/>
          <w:lang w:val="uk-UA"/>
        </w:rPr>
      </w:pPr>
    </w:p>
    <w:p w:rsidR="00AD6A6C" w:rsidRPr="00AD6A6C" w:rsidRDefault="00AD6A6C" w:rsidP="00AD6A6C">
      <w:pPr>
        <w:spacing w:after="0" w:line="240" w:lineRule="auto"/>
        <w:ind w:firstLine="426"/>
        <w:jc w:val="both"/>
        <w:rPr>
          <w:rFonts w:ascii="Times New Roman" w:hAnsi="Times New Roman"/>
          <w:sz w:val="28"/>
          <w:szCs w:val="28"/>
          <w:lang w:val="uk-UA"/>
        </w:rPr>
      </w:pPr>
      <w:r w:rsidRPr="00AD6A6C">
        <w:rPr>
          <w:rFonts w:ascii="Times New Roman" w:hAnsi="Times New Roman"/>
          <w:b/>
          <w:sz w:val="28"/>
          <w:szCs w:val="28"/>
          <w:lang w:val="uk-UA"/>
        </w:rPr>
        <w:t xml:space="preserve">Мета роботи: </w:t>
      </w:r>
      <w:r w:rsidRPr="00AD6A6C">
        <w:rPr>
          <w:rFonts w:ascii="Times New Roman" w:hAnsi="Times New Roman"/>
          <w:sz w:val="28"/>
          <w:szCs w:val="28"/>
          <w:lang w:val="uk-UA"/>
        </w:rPr>
        <w:t>вивчити особливості використання ABC- аналізу у логістичних процесах збуту овочевої продукції</w:t>
      </w:r>
    </w:p>
    <w:p w:rsidR="00AD6A6C" w:rsidRPr="00AD6A6C" w:rsidRDefault="00AD6A6C" w:rsidP="00AD6A6C">
      <w:pPr>
        <w:spacing w:after="0" w:line="240" w:lineRule="auto"/>
        <w:ind w:firstLine="426"/>
        <w:jc w:val="both"/>
        <w:rPr>
          <w:rFonts w:ascii="Times New Roman" w:hAnsi="Times New Roman"/>
          <w:sz w:val="28"/>
          <w:szCs w:val="28"/>
          <w:lang w:val="uk-UA"/>
        </w:rPr>
      </w:pPr>
      <w:r w:rsidRPr="00AD6A6C">
        <w:rPr>
          <w:rFonts w:ascii="Times New Roman" w:hAnsi="Times New Roman"/>
          <w:b/>
          <w:sz w:val="28"/>
          <w:szCs w:val="28"/>
          <w:lang w:val="uk-UA"/>
        </w:rPr>
        <w:t>Вихідні матеріали:</w:t>
      </w:r>
      <w:r w:rsidRPr="00AD6A6C">
        <w:rPr>
          <w:rFonts w:ascii="Times New Roman" w:hAnsi="Times New Roman"/>
          <w:sz w:val="28"/>
          <w:szCs w:val="28"/>
          <w:lang w:val="uk-UA"/>
        </w:rPr>
        <w:t xml:space="preserve"> виручка від реалізації овочів за регіонами за 5 років.</w:t>
      </w:r>
    </w:p>
    <w:p w:rsidR="00AD6A6C" w:rsidRPr="00AD6A6C" w:rsidRDefault="00AD6A6C" w:rsidP="00AD6A6C">
      <w:pPr>
        <w:spacing w:after="0" w:line="240" w:lineRule="auto"/>
        <w:ind w:firstLine="426"/>
        <w:jc w:val="both"/>
        <w:rPr>
          <w:rFonts w:ascii="Times New Roman" w:hAnsi="Times New Roman"/>
          <w:sz w:val="28"/>
          <w:szCs w:val="28"/>
          <w:lang w:val="uk-UA"/>
        </w:rPr>
      </w:pPr>
      <w:r w:rsidRPr="00AD6A6C">
        <w:rPr>
          <w:rFonts w:ascii="Times New Roman" w:hAnsi="Times New Roman"/>
          <w:b/>
          <w:sz w:val="28"/>
          <w:szCs w:val="28"/>
          <w:lang w:val="uk-UA"/>
        </w:rPr>
        <w:t>Джерела інформації:</w:t>
      </w:r>
      <w:r w:rsidRPr="00AD6A6C">
        <w:rPr>
          <w:rFonts w:ascii="Times New Roman" w:hAnsi="Times New Roman"/>
          <w:sz w:val="28"/>
          <w:szCs w:val="28"/>
          <w:lang w:val="uk-UA"/>
        </w:rPr>
        <w:t xml:space="preserve"> річні звіти Державної служби статистики про результати реалізації продукції сільськогосподарськими підприємствами.</w:t>
      </w:r>
    </w:p>
    <w:p w:rsidR="00AD6A6C" w:rsidRPr="00AD6A6C" w:rsidRDefault="00AD6A6C" w:rsidP="00AD6A6C">
      <w:pPr>
        <w:spacing w:after="0" w:line="240" w:lineRule="auto"/>
        <w:ind w:firstLine="426"/>
        <w:contextualSpacing/>
        <w:jc w:val="both"/>
        <w:rPr>
          <w:rFonts w:ascii="Times New Roman" w:hAnsi="Times New Roman"/>
          <w:sz w:val="28"/>
          <w:szCs w:val="28"/>
          <w:lang w:val="uk-UA"/>
        </w:rPr>
      </w:pPr>
    </w:p>
    <w:p w:rsidR="00AD6A6C" w:rsidRPr="00AD6A6C" w:rsidRDefault="00AD6A6C" w:rsidP="00AD6A6C">
      <w:pPr>
        <w:spacing w:after="0" w:line="240" w:lineRule="auto"/>
        <w:ind w:firstLine="426"/>
        <w:contextualSpacing/>
        <w:jc w:val="both"/>
        <w:rPr>
          <w:rFonts w:ascii="Times New Roman" w:hAnsi="Times New Roman"/>
          <w:sz w:val="28"/>
          <w:szCs w:val="28"/>
          <w:lang w:val="uk-UA"/>
        </w:rPr>
      </w:pPr>
      <w:r w:rsidRPr="00AD6A6C">
        <w:rPr>
          <w:rFonts w:ascii="Times New Roman" w:hAnsi="Times New Roman"/>
          <w:b/>
          <w:sz w:val="28"/>
          <w:szCs w:val="28"/>
          <w:lang w:val="uk-UA"/>
        </w:rPr>
        <w:t>Необхідна теоретична інформація.</w:t>
      </w:r>
      <w:r w:rsidRPr="00AD6A6C">
        <w:rPr>
          <w:rFonts w:ascii="Times New Roman" w:hAnsi="Times New Roman"/>
          <w:sz w:val="28"/>
          <w:szCs w:val="28"/>
          <w:lang w:val="uk-UA"/>
        </w:rPr>
        <w:t xml:space="preserve"> Для визначення стратегічних регіонів, які забезпечуватимуть максимальний та стабільний обсяг реалізації продукції за системою JIT-постачання використовується АВС- XYZ аналіз. Такий аналіз проводиться на базі статистичних методів, а саме розрахунку кумулятивної структури виручки від реалізації підприємств, а також стабільності реалізації на основі розрахунку коефіцієнту варіації показників за певний період. </w:t>
      </w:r>
    </w:p>
    <w:p w:rsidR="00AD6A6C" w:rsidRPr="00AD6A6C" w:rsidRDefault="00AD6A6C" w:rsidP="00AD6A6C">
      <w:pPr>
        <w:spacing w:after="0" w:line="240" w:lineRule="auto"/>
        <w:ind w:firstLine="426"/>
        <w:contextualSpacing/>
        <w:jc w:val="both"/>
        <w:rPr>
          <w:rFonts w:ascii="Times New Roman" w:hAnsi="Times New Roman"/>
          <w:sz w:val="28"/>
          <w:szCs w:val="28"/>
          <w:lang w:val="uk-UA"/>
        </w:rPr>
      </w:pPr>
      <w:r w:rsidRPr="00AD6A6C">
        <w:rPr>
          <w:rFonts w:ascii="Times New Roman" w:hAnsi="Times New Roman"/>
          <w:sz w:val="28"/>
          <w:szCs w:val="28"/>
          <w:lang w:val="uk-UA"/>
        </w:rPr>
        <w:t xml:space="preserve">В результаті ABC-XYZ-аналізу визначаються регіони за рівнем використання логістичного менеджменту. Для більш чіткого та зваженого рішення при аналізі результатів реалізації продукції необхідно досліджувати як вартісні так і натуральні показники, що характеризують даний процес. Так, для визначення частки реалізації продукції за окремими регіонами використовуються вартісні показники (вартість товарної продукції, прибуток від реалізації, тощо). При визначенні стабільності процесу бажано використовувати натуральні показники (обсяги виробництва, обсяги товарної продукції, розміри ресурсів). З погляду на те, яка логістична система буде розглядуватися у дослідженні визначаються показники аналізу. Так, якщо предметом дослідження є внутрішньовиробнича логістика, то показниками в аналізі відповідно виступають вартість сільськогосподарської продукції у порівняних цінах та обсяги виробництва. При дослідженні розподільчої логістики аналізують показники вартості товарної продукції (виручки чи прибутку від реалізації) та обсяги реалізації. У тому випадку, якщо предметом дослідження виступають процеси транспортної логістичної системи, використовують витрати палива в літрах на виробництво окремих видів продукції та затрати на паливо. </w:t>
      </w:r>
    </w:p>
    <w:p w:rsidR="00AD6A6C" w:rsidRPr="00AD6A6C" w:rsidRDefault="00AD6A6C" w:rsidP="00AD6A6C">
      <w:pPr>
        <w:spacing w:after="0" w:line="240" w:lineRule="auto"/>
        <w:ind w:firstLine="426"/>
        <w:contextualSpacing/>
        <w:jc w:val="both"/>
        <w:rPr>
          <w:rFonts w:ascii="Times New Roman" w:hAnsi="Times New Roman"/>
          <w:sz w:val="28"/>
          <w:szCs w:val="28"/>
          <w:lang w:val="uk-UA"/>
        </w:rPr>
      </w:pPr>
      <w:r w:rsidRPr="00AD6A6C">
        <w:rPr>
          <w:rFonts w:ascii="Times New Roman" w:hAnsi="Times New Roman"/>
          <w:sz w:val="28"/>
          <w:szCs w:val="28"/>
          <w:lang w:val="uk-UA"/>
        </w:rPr>
        <w:t xml:space="preserve">При АВС-аналізі показники розподіляються згідно принципу </w:t>
      </w:r>
      <w:proofErr w:type="spellStart"/>
      <w:r w:rsidRPr="00AD6A6C">
        <w:rPr>
          <w:rFonts w:ascii="Times New Roman" w:hAnsi="Times New Roman"/>
          <w:sz w:val="28"/>
          <w:szCs w:val="28"/>
          <w:lang w:val="uk-UA"/>
        </w:rPr>
        <w:t>Парето</w:t>
      </w:r>
      <w:proofErr w:type="spellEnd"/>
      <w:r w:rsidRPr="00AD6A6C">
        <w:rPr>
          <w:rFonts w:ascii="Times New Roman" w:hAnsi="Times New Roman"/>
          <w:sz w:val="28"/>
          <w:szCs w:val="28"/>
          <w:lang w:val="uk-UA"/>
        </w:rPr>
        <w:t xml:space="preserve"> за такими групами: </w:t>
      </w:r>
    </w:p>
    <w:p w:rsidR="00AD6A6C" w:rsidRPr="00AD6A6C" w:rsidRDefault="00AD6A6C" w:rsidP="00AD6A6C">
      <w:pPr>
        <w:numPr>
          <w:ilvl w:val="0"/>
          <w:numId w:val="1"/>
        </w:numPr>
        <w:tabs>
          <w:tab w:val="clear" w:pos="720"/>
          <w:tab w:val="num" w:pos="426"/>
        </w:tabs>
        <w:spacing w:after="0" w:line="240" w:lineRule="auto"/>
        <w:ind w:left="0" w:firstLine="0"/>
        <w:contextualSpacing/>
        <w:jc w:val="both"/>
        <w:rPr>
          <w:rFonts w:ascii="Times New Roman" w:hAnsi="Times New Roman"/>
          <w:sz w:val="28"/>
          <w:szCs w:val="28"/>
          <w:lang w:val="uk-UA"/>
        </w:rPr>
      </w:pPr>
      <w:r w:rsidRPr="00AD6A6C">
        <w:rPr>
          <w:rFonts w:ascii="Times New Roman" w:hAnsi="Times New Roman"/>
          <w:sz w:val="28"/>
          <w:szCs w:val="28"/>
          <w:lang w:val="uk-UA"/>
        </w:rPr>
        <w:t>до групи А належать види продукції (регіони), кількість яких становить до 80% вартості у структурі виробництва чи реалізації продукції;</w:t>
      </w:r>
    </w:p>
    <w:p w:rsidR="00AD6A6C" w:rsidRPr="00AD6A6C" w:rsidRDefault="00AD6A6C" w:rsidP="00AD6A6C">
      <w:pPr>
        <w:numPr>
          <w:ilvl w:val="0"/>
          <w:numId w:val="1"/>
        </w:numPr>
        <w:tabs>
          <w:tab w:val="clear" w:pos="720"/>
          <w:tab w:val="num" w:pos="426"/>
        </w:tabs>
        <w:spacing w:after="0" w:line="240" w:lineRule="auto"/>
        <w:ind w:left="0" w:firstLine="0"/>
        <w:contextualSpacing/>
        <w:jc w:val="both"/>
        <w:rPr>
          <w:rFonts w:ascii="Times New Roman" w:hAnsi="Times New Roman"/>
          <w:sz w:val="28"/>
          <w:szCs w:val="28"/>
          <w:lang w:val="uk-UA"/>
        </w:rPr>
      </w:pPr>
      <w:r w:rsidRPr="00AD6A6C">
        <w:rPr>
          <w:rFonts w:ascii="Times New Roman" w:hAnsi="Times New Roman"/>
          <w:sz w:val="28"/>
          <w:szCs w:val="28"/>
          <w:lang w:val="uk-UA"/>
        </w:rPr>
        <w:t>група В складається із продукції (регіонів), що виконують допоміжну роль і забезпечують додаткові 15%;</w:t>
      </w:r>
    </w:p>
    <w:p w:rsidR="00AD6A6C" w:rsidRPr="00AD6A6C" w:rsidRDefault="00AD6A6C" w:rsidP="00AD6A6C">
      <w:pPr>
        <w:numPr>
          <w:ilvl w:val="0"/>
          <w:numId w:val="1"/>
        </w:numPr>
        <w:tabs>
          <w:tab w:val="clear" w:pos="720"/>
          <w:tab w:val="num" w:pos="426"/>
        </w:tabs>
        <w:spacing w:after="0" w:line="240" w:lineRule="auto"/>
        <w:ind w:left="0" w:firstLine="0"/>
        <w:contextualSpacing/>
        <w:jc w:val="both"/>
        <w:rPr>
          <w:rFonts w:ascii="Times New Roman" w:hAnsi="Times New Roman"/>
          <w:sz w:val="28"/>
          <w:szCs w:val="28"/>
          <w:lang w:val="uk-UA"/>
        </w:rPr>
      </w:pPr>
      <w:r w:rsidRPr="00AD6A6C">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4105751</wp:posOffset>
                </wp:positionH>
                <wp:positionV relativeFrom="paragraph">
                  <wp:posOffset>8414</wp:posOffset>
                </wp:positionV>
                <wp:extent cx="1800225" cy="828675"/>
                <wp:effectExtent l="0" t="0" r="9525" b="9525"/>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82867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A6C" w:rsidRPr="00AD6A6C" w:rsidRDefault="00AD6A6C" w:rsidP="00AD6A6C">
                            <w:pPr>
                              <w:tabs>
                                <w:tab w:val="num" w:pos="426"/>
                              </w:tabs>
                              <w:spacing w:after="0" w:line="240" w:lineRule="auto"/>
                              <w:contextualSpacing/>
                              <w:jc w:val="both"/>
                              <w:rPr>
                                <w:rFonts w:ascii="Times New Roman" w:hAnsi="Times New Roman"/>
                                <w:b/>
                                <w:sz w:val="24"/>
                                <w:szCs w:val="24"/>
                                <w:lang w:val="uk-UA"/>
                              </w:rPr>
                            </w:pPr>
                            <w:r w:rsidRPr="00AD6A6C">
                              <w:rPr>
                                <w:rFonts w:ascii="Times New Roman" w:hAnsi="Times New Roman"/>
                                <w:b/>
                                <w:sz w:val="24"/>
                                <w:szCs w:val="24"/>
                                <w:lang w:val="uk-UA"/>
                              </w:rPr>
                              <w:t>Межі АВС груп</w:t>
                            </w:r>
                          </w:p>
                          <w:p w:rsidR="00AD6A6C" w:rsidRPr="00AD6A6C" w:rsidRDefault="00AD6A6C" w:rsidP="00AD6A6C">
                            <w:pPr>
                              <w:tabs>
                                <w:tab w:val="num" w:pos="426"/>
                              </w:tabs>
                              <w:spacing w:after="0" w:line="240" w:lineRule="auto"/>
                              <w:contextualSpacing/>
                              <w:jc w:val="both"/>
                              <w:rPr>
                                <w:rFonts w:ascii="Times New Roman" w:hAnsi="Times New Roman"/>
                                <w:b/>
                                <w:sz w:val="24"/>
                                <w:szCs w:val="24"/>
                                <w:lang w:val="uk-UA"/>
                              </w:rPr>
                            </w:pPr>
                            <w:r w:rsidRPr="00AD6A6C">
                              <w:rPr>
                                <w:rFonts w:ascii="Times New Roman" w:hAnsi="Times New Roman"/>
                                <w:b/>
                                <w:sz w:val="24"/>
                                <w:szCs w:val="24"/>
                                <w:lang w:val="uk-UA"/>
                              </w:rPr>
                              <w:t>A – до 80,00%</w:t>
                            </w:r>
                          </w:p>
                          <w:p w:rsidR="00AD6A6C" w:rsidRPr="00AD6A6C" w:rsidRDefault="00AD6A6C" w:rsidP="00AD6A6C">
                            <w:pPr>
                              <w:tabs>
                                <w:tab w:val="num" w:pos="426"/>
                              </w:tabs>
                              <w:spacing w:after="0" w:line="240" w:lineRule="auto"/>
                              <w:contextualSpacing/>
                              <w:rPr>
                                <w:rFonts w:ascii="Times New Roman" w:hAnsi="Times New Roman"/>
                                <w:b/>
                                <w:sz w:val="24"/>
                                <w:szCs w:val="24"/>
                                <w:lang w:val="uk-UA"/>
                              </w:rPr>
                            </w:pPr>
                            <w:r w:rsidRPr="00AD6A6C">
                              <w:rPr>
                                <w:rFonts w:ascii="Times New Roman" w:hAnsi="Times New Roman"/>
                                <w:b/>
                                <w:sz w:val="24"/>
                                <w:szCs w:val="24"/>
                                <w:lang w:val="uk-UA"/>
                              </w:rPr>
                              <w:t>B – від 80,01 до 95,00%</w:t>
                            </w:r>
                          </w:p>
                          <w:p w:rsidR="00AD6A6C" w:rsidRPr="00AD6A6C" w:rsidRDefault="00AD6A6C" w:rsidP="00AD6A6C">
                            <w:pPr>
                              <w:spacing w:after="0" w:line="240" w:lineRule="auto"/>
                              <w:rPr>
                                <w:rFonts w:ascii="Times New Roman" w:hAnsi="Times New Roman"/>
                                <w:b/>
                                <w:sz w:val="24"/>
                                <w:szCs w:val="24"/>
                              </w:rPr>
                            </w:pPr>
                            <w:r w:rsidRPr="00AD6A6C">
                              <w:rPr>
                                <w:rFonts w:ascii="Times New Roman" w:hAnsi="Times New Roman"/>
                                <w:b/>
                                <w:sz w:val="24"/>
                                <w:szCs w:val="24"/>
                                <w:lang w:val="uk-UA"/>
                              </w:rPr>
                              <w:t>C – від 95,01 до 100%</w:t>
                            </w:r>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Надпись 3" o:spid="_x0000_s1026" type="#_x0000_t202" style="position:absolute;left:0;text-align:left;margin-left:323.3pt;margin-top:.65pt;width:141.7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" fillcolor="#f2f2f2" stroked="f">
                <v:textbox inset="2.5mm,1.3mm,2.5mm,1.3mm">
                  <w:txbxContent>
                    <w:p w:rsidR="00AD6A6C" w:rsidRPr="00AD6A6C" w:rsidRDefault="00AD6A6C" w:rsidP="00AD6A6C">
                      <w:pPr>
                        <w:tabs>
                          <w:tab w:val="num" w:pos="426"/>
                        </w:tabs>
                        <w:spacing w:after="0" w:line="240" w:lineRule="auto"/>
                        <w:contextualSpacing/>
                        <w:jc w:val="both"/>
                        <w:rPr>
                          <w:rFonts w:ascii="Times New Roman" w:hAnsi="Times New Roman"/>
                          <w:b/>
                          <w:sz w:val="24"/>
                          <w:szCs w:val="24"/>
                          <w:lang w:val="uk-UA"/>
                        </w:rPr>
                      </w:pPr>
                      <w:r w:rsidRPr="00AD6A6C">
                        <w:rPr>
                          <w:rFonts w:ascii="Times New Roman" w:hAnsi="Times New Roman"/>
                          <w:b/>
                          <w:sz w:val="24"/>
                          <w:szCs w:val="24"/>
                          <w:lang w:val="uk-UA"/>
                        </w:rPr>
                        <w:t>Межі АВС груп</w:t>
                      </w:r>
                    </w:p>
                    <w:p w:rsidR="00AD6A6C" w:rsidRPr="00AD6A6C" w:rsidRDefault="00AD6A6C" w:rsidP="00AD6A6C">
                      <w:pPr>
                        <w:tabs>
                          <w:tab w:val="num" w:pos="426"/>
                        </w:tabs>
                        <w:spacing w:after="0" w:line="240" w:lineRule="auto"/>
                        <w:contextualSpacing/>
                        <w:jc w:val="both"/>
                        <w:rPr>
                          <w:rFonts w:ascii="Times New Roman" w:hAnsi="Times New Roman"/>
                          <w:b/>
                          <w:sz w:val="24"/>
                          <w:szCs w:val="24"/>
                          <w:lang w:val="uk-UA"/>
                        </w:rPr>
                      </w:pPr>
                      <w:r w:rsidRPr="00AD6A6C">
                        <w:rPr>
                          <w:rFonts w:ascii="Times New Roman" w:hAnsi="Times New Roman"/>
                          <w:b/>
                          <w:sz w:val="24"/>
                          <w:szCs w:val="24"/>
                          <w:lang w:val="uk-UA"/>
                        </w:rPr>
                        <w:t>A – до 80,00%</w:t>
                      </w:r>
                    </w:p>
                    <w:p w:rsidR="00AD6A6C" w:rsidRPr="00AD6A6C" w:rsidRDefault="00AD6A6C" w:rsidP="00AD6A6C">
                      <w:pPr>
                        <w:tabs>
                          <w:tab w:val="num" w:pos="426"/>
                        </w:tabs>
                        <w:spacing w:after="0" w:line="240" w:lineRule="auto"/>
                        <w:contextualSpacing/>
                        <w:rPr>
                          <w:rFonts w:ascii="Times New Roman" w:hAnsi="Times New Roman"/>
                          <w:b/>
                          <w:sz w:val="24"/>
                          <w:szCs w:val="24"/>
                          <w:lang w:val="uk-UA"/>
                        </w:rPr>
                      </w:pPr>
                      <w:r w:rsidRPr="00AD6A6C">
                        <w:rPr>
                          <w:rFonts w:ascii="Times New Roman" w:hAnsi="Times New Roman"/>
                          <w:b/>
                          <w:sz w:val="24"/>
                          <w:szCs w:val="24"/>
                          <w:lang w:val="uk-UA"/>
                        </w:rPr>
                        <w:t>B – від 80,01 до 95,00%</w:t>
                      </w:r>
                    </w:p>
                    <w:p w:rsidR="00AD6A6C" w:rsidRPr="00AD6A6C" w:rsidRDefault="00AD6A6C" w:rsidP="00AD6A6C">
                      <w:pPr>
                        <w:spacing w:after="0" w:line="240" w:lineRule="auto"/>
                        <w:rPr>
                          <w:rFonts w:ascii="Times New Roman" w:hAnsi="Times New Roman"/>
                          <w:b/>
                          <w:sz w:val="24"/>
                          <w:szCs w:val="24"/>
                        </w:rPr>
                      </w:pPr>
                      <w:r w:rsidRPr="00AD6A6C">
                        <w:rPr>
                          <w:rFonts w:ascii="Times New Roman" w:hAnsi="Times New Roman"/>
                          <w:b/>
                          <w:sz w:val="24"/>
                          <w:szCs w:val="24"/>
                          <w:lang w:val="uk-UA"/>
                        </w:rPr>
                        <w:t>C – від 95,01 до 100%</w:t>
                      </w:r>
                    </w:p>
                  </w:txbxContent>
                </v:textbox>
                <w10:wrap type="square"/>
              </v:shape>
            </w:pict>
          </mc:Fallback>
        </mc:AlternateContent>
      </w:r>
      <w:r w:rsidRPr="00AD6A6C">
        <w:rPr>
          <w:rFonts w:ascii="Times New Roman" w:hAnsi="Times New Roman"/>
          <w:sz w:val="28"/>
          <w:szCs w:val="28"/>
          <w:lang w:val="uk-UA"/>
        </w:rPr>
        <w:t>до групи С входять види продукції чи регіони, вартість яких у загальній структурі становить лише 5%.</w:t>
      </w:r>
    </w:p>
    <w:p w:rsidR="00AD6A6C" w:rsidRPr="00AD6A6C" w:rsidRDefault="00AD6A6C" w:rsidP="00AD6A6C">
      <w:pPr>
        <w:spacing w:after="0" w:line="240" w:lineRule="auto"/>
        <w:ind w:firstLine="426"/>
        <w:contextualSpacing/>
        <w:jc w:val="both"/>
        <w:rPr>
          <w:rFonts w:ascii="Times New Roman" w:hAnsi="Times New Roman"/>
          <w:b/>
          <w:sz w:val="28"/>
          <w:szCs w:val="28"/>
          <w:lang w:val="uk-UA"/>
        </w:rPr>
      </w:pPr>
    </w:p>
    <w:p w:rsidR="00AD6A6C" w:rsidRPr="00AD6A6C" w:rsidRDefault="00AD6A6C" w:rsidP="00AD6A6C">
      <w:pPr>
        <w:spacing w:after="0" w:line="240" w:lineRule="auto"/>
        <w:ind w:firstLine="426"/>
        <w:contextualSpacing/>
        <w:jc w:val="both"/>
        <w:rPr>
          <w:rFonts w:ascii="Times New Roman" w:hAnsi="Times New Roman"/>
          <w:sz w:val="28"/>
          <w:szCs w:val="28"/>
          <w:lang w:val="uk-UA"/>
        </w:rPr>
      </w:pPr>
      <w:r w:rsidRPr="00AD6A6C">
        <w:rPr>
          <w:rFonts w:ascii="Times New Roman" w:hAnsi="Times New Roman"/>
          <w:b/>
          <w:sz w:val="28"/>
          <w:szCs w:val="28"/>
          <w:lang w:val="uk-UA"/>
        </w:rPr>
        <w:lastRenderedPageBreak/>
        <w:t>Умови завдання</w:t>
      </w:r>
      <w:r w:rsidRPr="00AD6A6C">
        <w:rPr>
          <w:rFonts w:ascii="Times New Roman" w:hAnsi="Times New Roman"/>
          <w:i/>
          <w:sz w:val="28"/>
          <w:szCs w:val="28"/>
          <w:lang w:val="uk-UA"/>
        </w:rPr>
        <w:t xml:space="preserve">. </w:t>
      </w:r>
      <w:r w:rsidRPr="00AD6A6C">
        <w:rPr>
          <w:rFonts w:ascii="Times New Roman" w:hAnsi="Times New Roman"/>
          <w:sz w:val="28"/>
          <w:szCs w:val="28"/>
          <w:lang w:val="uk-UA"/>
        </w:rPr>
        <w:t xml:space="preserve">За даними 2015 року встановити регіони, в яких сільськогосподарські підприємства забезпечують стабільність реалізації, та які є стратегічними у розподільчій логістиці овочів. </w:t>
      </w:r>
    </w:p>
    <w:p w:rsidR="00AD6A6C" w:rsidRPr="00AD6A6C" w:rsidRDefault="00AD6A6C" w:rsidP="00AD6A6C">
      <w:pPr>
        <w:spacing w:after="0" w:line="240" w:lineRule="auto"/>
        <w:contextualSpacing/>
        <w:jc w:val="both"/>
        <w:rPr>
          <w:rFonts w:ascii="Times New Roman" w:hAnsi="Times New Roman"/>
          <w:sz w:val="28"/>
          <w:szCs w:val="28"/>
          <w:lang w:val="uk-UA"/>
        </w:rPr>
      </w:pPr>
    </w:p>
    <w:p w:rsidR="00AD6A6C" w:rsidRPr="00AD6A6C" w:rsidRDefault="00AD6A6C" w:rsidP="00AD6A6C">
      <w:pPr>
        <w:spacing w:after="0" w:line="240" w:lineRule="auto"/>
        <w:ind w:firstLine="426"/>
        <w:jc w:val="both"/>
        <w:rPr>
          <w:rFonts w:ascii="Times New Roman" w:hAnsi="Times New Roman"/>
          <w:b/>
          <w:sz w:val="28"/>
          <w:szCs w:val="28"/>
          <w:lang w:val="uk-UA"/>
        </w:rPr>
      </w:pPr>
      <w:r w:rsidRPr="00AD6A6C">
        <w:rPr>
          <w:rFonts w:ascii="Times New Roman" w:hAnsi="Times New Roman"/>
          <w:b/>
          <w:sz w:val="28"/>
          <w:szCs w:val="28"/>
          <w:lang w:val="uk-UA"/>
        </w:rPr>
        <w:t>Розв’язок завдання:</w:t>
      </w:r>
    </w:p>
    <w:p w:rsidR="00AD6A6C" w:rsidRPr="00AD6A6C" w:rsidRDefault="00AD6A6C" w:rsidP="00AD6A6C">
      <w:pPr>
        <w:spacing w:after="0" w:line="240" w:lineRule="auto"/>
        <w:ind w:firstLine="426"/>
        <w:contextualSpacing/>
        <w:jc w:val="both"/>
        <w:rPr>
          <w:rFonts w:ascii="Times New Roman" w:hAnsi="Times New Roman"/>
          <w:sz w:val="28"/>
          <w:szCs w:val="28"/>
          <w:lang w:val="uk-UA"/>
        </w:rPr>
      </w:pPr>
      <w:r w:rsidRPr="00AD6A6C">
        <w:rPr>
          <w:rFonts w:ascii="Times New Roman" w:hAnsi="Times New Roman"/>
          <w:sz w:val="28"/>
          <w:szCs w:val="28"/>
          <w:lang w:val="uk-UA"/>
        </w:rPr>
        <w:t xml:space="preserve">Для проведення аналізу використовуються </w:t>
      </w:r>
      <w:r>
        <w:rPr>
          <w:rFonts w:ascii="Times New Roman" w:hAnsi="Times New Roman"/>
          <w:sz w:val="28"/>
          <w:szCs w:val="28"/>
          <w:lang w:val="uk-UA"/>
        </w:rPr>
        <w:t xml:space="preserve">дані обсягів реалізації овочів за 2015 рік. </w:t>
      </w:r>
      <w:r w:rsidRPr="00AD6A6C">
        <w:rPr>
          <w:rFonts w:ascii="Times New Roman" w:hAnsi="Times New Roman"/>
          <w:sz w:val="28"/>
          <w:szCs w:val="28"/>
          <w:lang w:val="uk-UA"/>
        </w:rPr>
        <w:t>До уваги не приймається регіони Житомирської, Закарпатської та Луганської областей, в яких інформація про обсяги реалізації томатів є конфіденційною. Більш того, дані по сільськогосподарським підприємствам АР Крим відсутні у звіті Державного комітету статистики.</w:t>
      </w:r>
      <w:r>
        <w:rPr>
          <w:rFonts w:ascii="Times New Roman" w:hAnsi="Times New Roman"/>
          <w:sz w:val="28"/>
          <w:szCs w:val="28"/>
          <w:lang w:val="uk-UA"/>
        </w:rPr>
        <w:t xml:space="preserve"> </w:t>
      </w:r>
      <w:r w:rsidRPr="00AD6A6C">
        <w:rPr>
          <w:rFonts w:ascii="Times New Roman" w:hAnsi="Times New Roman"/>
          <w:sz w:val="28"/>
          <w:szCs w:val="28"/>
          <w:lang w:val="uk-UA"/>
        </w:rPr>
        <w:t xml:space="preserve">Для визначення основних регіонів за принципами логістичного менеджменту використаємо АВС аналіз виручки від реалізації </w:t>
      </w:r>
      <w:r>
        <w:rPr>
          <w:rFonts w:ascii="Times New Roman" w:hAnsi="Times New Roman"/>
          <w:sz w:val="28"/>
          <w:szCs w:val="28"/>
          <w:lang w:val="uk-UA"/>
        </w:rPr>
        <w:t>продукції (табл. 1</w:t>
      </w:r>
      <w:r w:rsidRPr="00AD6A6C">
        <w:rPr>
          <w:rFonts w:ascii="Times New Roman" w:hAnsi="Times New Roman"/>
          <w:sz w:val="28"/>
          <w:szCs w:val="28"/>
          <w:lang w:val="uk-UA"/>
        </w:rPr>
        <w:t>)</w:t>
      </w:r>
    </w:p>
    <w:p w:rsidR="00AD6A6C" w:rsidRPr="00AD6A6C" w:rsidRDefault="00AD6A6C" w:rsidP="00AD6A6C">
      <w:pPr>
        <w:widowControl w:val="0"/>
        <w:spacing w:after="0" w:line="240" w:lineRule="auto"/>
        <w:ind w:firstLine="539"/>
        <w:contextualSpacing/>
        <w:jc w:val="right"/>
        <w:rPr>
          <w:rFonts w:ascii="Times New Roman" w:hAnsi="Times New Roman"/>
          <w:i/>
          <w:sz w:val="28"/>
          <w:szCs w:val="28"/>
          <w:lang w:val="uk-UA"/>
        </w:rPr>
      </w:pPr>
      <w:r>
        <w:rPr>
          <w:rFonts w:ascii="Times New Roman" w:hAnsi="Times New Roman"/>
          <w:i/>
          <w:sz w:val="28"/>
          <w:szCs w:val="28"/>
          <w:lang w:val="uk-UA"/>
        </w:rPr>
        <w:t>Таблиця 1</w:t>
      </w:r>
      <w:r w:rsidRPr="00AD6A6C">
        <w:rPr>
          <w:rFonts w:ascii="Times New Roman" w:hAnsi="Times New Roman"/>
          <w:i/>
          <w:sz w:val="28"/>
          <w:szCs w:val="28"/>
          <w:lang w:val="uk-UA"/>
        </w:rPr>
        <w:t xml:space="preserve"> </w:t>
      </w:r>
    </w:p>
    <w:p w:rsidR="00AD6A6C" w:rsidRPr="00AD6A6C" w:rsidRDefault="00AD6A6C" w:rsidP="00AD6A6C">
      <w:pPr>
        <w:spacing w:after="0" w:line="240" w:lineRule="auto"/>
        <w:ind w:firstLine="540"/>
        <w:contextualSpacing/>
        <w:jc w:val="center"/>
        <w:rPr>
          <w:rFonts w:ascii="Times New Roman" w:hAnsi="Times New Roman"/>
          <w:b/>
          <w:sz w:val="28"/>
          <w:szCs w:val="28"/>
          <w:lang w:val="uk-UA"/>
        </w:rPr>
      </w:pPr>
      <w:r w:rsidRPr="00AD6A6C">
        <w:rPr>
          <w:rFonts w:ascii="Times New Roman" w:hAnsi="Times New Roman"/>
          <w:b/>
          <w:sz w:val="28"/>
          <w:szCs w:val="28"/>
          <w:lang w:val="uk-UA"/>
        </w:rPr>
        <w:t>ABC аналіз виробництва продукції</w:t>
      </w:r>
    </w:p>
    <w:tbl>
      <w:tblPr>
        <w:tblW w:w="9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1417"/>
        <w:gridCol w:w="1276"/>
        <w:gridCol w:w="1276"/>
        <w:gridCol w:w="992"/>
        <w:gridCol w:w="1114"/>
        <w:gridCol w:w="850"/>
      </w:tblGrid>
      <w:tr w:rsidR="00AD6A6C" w:rsidRPr="00AD6A6C" w:rsidTr="00AD6A6C">
        <w:trPr>
          <w:trHeight w:val="330"/>
        </w:trPr>
        <w:tc>
          <w:tcPr>
            <w:tcW w:w="2439" w:type="dxa"/>
            <w:vMerge w:val="restart"/>
            <w:vAlign w:val="center"/>
          </w:tcPr>
          <w:p w:rsidR="00AD6A6C" w:rsidRPr="00AD6A6C" w:rsidRDefault="00AD6A6C" w:rsidP="00AD6A6C">
            <w:pPr>
              <w:spacing w:after="0" w:line="240" w:lineRule="auto"/>
              <w:contextualSpacing/>
              <w:jc w:val="center"/>
              <w:rPr>
                <w:rFonts w:ascii="Times New Roman" w:hAnsi="Times New Roman"/>
                <w:sz w:val="28"/>
                <w:szCs w:val="28"/>
                <w:lang w:val="uk-UA"/>
              </w:rPr>
            </w:pPr>
            <w:r w:rsidRPr="00AD6A6C">
              <w:rPr>
                <w:rFonts w:ascii="Times New Roman" w:hAnsi="Times New Roman"/>
                <w:sz w:val="28"/>
                <w:szCs w:val="28"/>
                <w:lang w:val="uk-UA"/>
              </w:rPr>
              <w:t xml:space="preserve">Види продукції </w:t>
            </w:r>
          </w:p>
        </w:tc>
        <w:tc>
          <w:tcPr>
            <w:tcW w:w="1417" w:type="dxa"/>
            <w:vMerge w:val="restart"/>
            <w:textDirection w:val="btLr"/>
          </w:tcPr>
          <w:p w:rsidR="00AD6A6C" w:rsidRPr="00AD6A6C" w:rsidRDefault="00AD6A6C" w:rsidP="00AD6A6C">
            <w:pPr>
              <w:spacing w:after="0" w:line="240" w:lineRule="auto"/>
              <w:ind w:left="113" w:right="113"/>
              <w:contextualSpacing/>
              <w:jc w:val="center"/>
              <w:rPr>
                <w:rFonts w:ascii="Times New Roman" w:hAnsi="Times New Roman"/>
                <w:sz w:val="28"/>
                <w:szCs w:val="28"/>
                <w:lang w:val="uk-UA"/>
              </w:rPr>
            </w:pPr>
            <w:r w:rsidRPr="00AD6A6C">
              <w:rPr>
                <w:rFonts w:ascii="Times New Roman" w:hAnsi="Times New Roman"/>
                <w:sz w:val="28"/>
                <w:szCs w:val="28"/>
                <w:lang w:val="uk-UA"/>
              </w:rPr>
              <w:t>Обсяги реалізації, т</w:t>
            </w:r>
          </w:p>
        </w:tc>
        <w:tc>
          <w:tcPr>
            <w:tcW w:w="1276" w:type="dxa"/>
            <w:vMerge w:val="restart"/>
            <w:noWrap/>
            <w:textDirection w:val="btLr"/>
            <w:vAlign w:val="center"/>
          </w:tcPr>
          <w:p w:rsidR="00AD6A6C" w:rsidRPr="00AD6A6C" w:rsidRDefault="00AD6A6C" w:rsidP="00AD6A6C">
            <w:pPr>
              <w:spacing w:after="0" w:line="240" w:lineRule="auto"/>
              <w:ind w:left="113" w:right="113"/>
              <w:contextualSpacing/>
              <w:jc w:val="center"/>
              <w:rPr>
                <w:rFonts w:ascii="Times New Roman" w:hAnsi="Times New Roman"/>
                <w:sz w:val="28"/>
                <w:szCs w:val="28"/>
                <w:lang w:val="uk-UA"/>
              </w:rPr>
            </w:pPr>
            <w:r w:rsidRPr="00AD6A6C">
              <w:rPr>
                <w:rFonts w:ascii="Times New Roman" w:hAnsi="Times New Roman"/>
                <w:sz w:val="28"/>
                <w:szCs w:val="28"/>
                <w:lang w:val="uk-UA"/>
              </w:rPr>
              <w:t>Ціна реалізації, грн./т</w:t>
            </w:r>
          </w:p>
        </w:tc>
        <w:tc>
          <w:tcPr>
            <w:tcW w:w="2268" w:type="dxa"/>
            <w:gridSpan w:val="2"/>
            <w:noWrap/>
            <w:vAlign w:val="center"/>
          </w:tcPr>
          <w:p w:rsidR="00AD6A6C" w:rsidRPr="00AD6A6C" w:rsidRDefault="00AD6A6C" w:rsidP="00AD6A6C">
            <w:pPr>
              <w:spacing w:after="0" w:line="240" w:lineRule="auto"/>
              <w:contextualSpacing/>
              <w:jc w:val="center"/>
              <w:rPr>
                <w:rFonts w:ascii="Times New Roman" w:hAnsi="Times New Roman"/>
                <w:sz w:val="28"/>
                <w:szCs w:val="28"/>
                <w:lang w:val="uk-UA"/>
              </w:rPr>
            </w:pPr>
            <w:r w:rsidRPr="00AD6A6C">
              <w:rPr>
                <w:rFonts w:ascii="Times New Roman" w:hAnsi="Times New Roman"/>
                <w:sz w:val="28"/>
                <w:szCs w:val="28"/>
                <w:lang w:val="uk-UA"/>
              </w:rPr>
              <w:t>Виручка від реалізації, тис. грн.</w:t>
            </w:r>
          </w:p>
        </w:tc>
        <w:tc>
          <w:tcPr>
            <w:tcW w:w="1114" w:type="dxa"/>
            <w:vMerge w:val="restart"/>
            <w:noWrap/>
            <w:textDirection w:val="btLr"/>
            <w:vAlign w:val="center"/>
          </w:tcPr>
          <w:p w:rsidR="00AD6A6C" w:rsidRPr="00AD6A6C" w:rsidRDefault="00AD6A6C" w:rsidP="00AD6A6C">
            <w:pPr>
              <w:spacing w:after="0" w:line="240" w:lineRule="auto"/>
              <w:ind w:left="113" w:right="113"/>
              <w:contextualSpacing/>
              <w:jc w:val="center"/>
              <w:rPr>
                <w:rFonts w:ascii="Times New Roman" w:hAnsi="Times New Roman"/>
                <w:sz w:val="28"/>
                <w:szCs w:val="28"/>
                <w:lang w:val="uk-UA"/>
              </w:rPr>
            </w:pPr>
            <w:r w:rsidRPr="00AD6A6C">
              <w:rPr>
                <w:rFonts w:ascii="Times New Roman" w:hAnsi="Times New Roman"/>
                <w:sz w:val="28"/>
                <w:szCs w:val="28"/>
                <w:lang w:val="uk-UA"/>
              </w:rPr>
              <w:t>Кумулятивна структура виручки від реалізації, тис грн.</w:t>
            </w:r>
          </w:p>
        </w:tc>
        <w:tc>
          <w:tcPr>
            <w:tcW w:w="850" w:type="dxa"/>
            <w:vMerge w:val="restart"/>
            <w:noWrap/>
            <w:vAlign w:val="center"/>
          </w:tcPr>
          <w:p w:rsidR="00AD6A6C" w:rsidRPr="00AD6A6C" w:rsidRDefault="00AD6A6C" w:rsidP="00AD6A6C">
            <w:pPr>
              <w:spacing w:after="0" w:line="240" w:lineRule="auto"/>
              <w:contextualSpacing/>
              <w:jc w:val="center"/>
              <w:rPr>
                <w:rFonts w:ascii="Times New Roman" w:hAnsi="Times New Roman"/>
                <w:sz w:val="28"/>
                <w:szCs w:val="28"/>
                <w:lang w:val="uk-UA"/>
              </w:rPr>
            </w:pPr>
            <w:r w:rsidRPr="00AD6A6C">
              <w:rPr>
                <w:rFonts w:ascii="Times New Roman" w:hAnsi="Times New Roman"/>
                <w:sz w:val="28"/>
                <w:szCs w:val="28"/>
                <w:lang w:val="uk-UA"/>
              </w:rPr>
              <w:t>ABC-група</w:t>
            </w:r>
          </w:p>
        </w:tc>
      </w:tr>
      <w:tr w:rsidR="00AD6A6C" w:rsidRPr="00AD6A6C" w:rsidTr="00AD6A6C">
        <w:trPr>
          <w:trHeight w:val="1040"/>
        </w:trPr>
        <w:tc>
          <w:tcPr>
            <w:tcW w:w="2439" w:type="dxa"/>
            <w:vMerge/>
            <w:vAlign w:val="center"/>
          </w:tcPr>
          <w:p w:rsidR="00AD6A6C" w:rsidRPr="00AD6A6C" w:rsidRDefault="00AD6A6C" w:rsidP="00AD6A6C">
            <w:pPr>
              <w:spacing w:after="0" w:line="240" w:lineRule="auto"/>
              <w:contextualSpacing/>
              <w:jc w:val="center"/>
              <w:rPr>
                <w:rFonts w:ascii="Times New Roman" w:hAnsi="Times New Roman"/>
                <w:sz w:val="28"/>
                <w:szCs w:val="28"/>
                <w:lang w:val="uk-UA"/>
              </w:rPr>
            </w:pPr>
          </w:p>
        </w:tc>
        <w:tc>
          <w:tcPr>
            <w:tcW w:w="1417" w:type="dxa"/>
            <w:vMerge/>
          </w:tcPr>
          <w:p w:rsidR="00AD6A6C" w:rsidRPr="00AD6A6C" w:rsidRDefault="00AD6A6C" w:rsidP="00AD6A6C">
            <w:pPr>
              <w:spacing w:after="0" w:line="240" w:lineRule="auto"/>
              <w:contextualSpacing/>
              <w:jc w:val="center"/>
              <w:rPr>
                <w:rFonts w:ascii="Times New Roman" w:hAnsi="Times New Roman"/>
                <w:sz w:val="28"/>
                <w:szCs w:val="28"/>
                <w:lang w:val="uk-UA"/>
              </w:rPr>
            </w:pPr>
          </w:p>
        </w:tc>
        <w:tc>
          <w:tcPr>
            <w:tcW w:w="1276" w:type="dxa"/>
            <w:vMerge/>
            <w:vAlign w:val="center"/>
          </w:tcPr>
          <w:p w:rsidR="00AD6A6C" w:rsidRPr="00AD6A6C" w:rsidRDefault="00AD6A6C" w:rsidP="00AD6A6C">
            <w:pPr>
              <w:spacing w:after="0" w:line="240" w:lineRule="auto"/>
              <w:contextualSpacing/>
              <w:jc w:val="center"/>
              <w:rPr>
                <w:rFonts w:ascii="Times New Roman" w:hAnsi="Times New Roman"/>
                <w:sz w:val="28"/>
                <w:szCs w:val="28"/>
                <w:lang w:val="uk-UA"/>
              </w:rPr>
            </w:pPr>
          </w:p>
        </w:tc>
        <w:tc>
          <w:tcPr>
            <w:tcW w:w="1276" w:type="dxa"/>
            <w:noWrap/>
            <w:vAlign w:val="center"/>
          </w:tcPr>
          <w:p w:rsidR="00AD6A6C" w:rsidRPr="00AD6A6C" w:rsidRDefault="00AD6A6C" w:rsidP="00AD6A6C">
            <w:pPr>
              <w:spacing w:after="0" w:line="240" w:lineRule="auto"/>
              <w:contextualSpacing/>
              <w:jc w:val="center"/>
              <w:rPr>
                <w:rFonts w:ascii="Times New Roman" w:hAnsi="Times New Roman"/>
                <w:sz w:val="28"/>
                <w:szCs w:val="28"/>
                <w:lang w:val="uk-UA"/>
              </w:rPr>
            </w:pPr>
            <w:r w:rsidRPr="00AD6A6C">
              <w:rPr>
                <w:rFonts w:ascii="Times New Roman" w:hAnsi="Times New Roman"/>
                <w:sz w:val="28"/>
                <w:szCs w:val="28"/>
                <w:lang w:val="uk-UA"/>
              </w:rPr>
              <w:t>тис. грн.</w:t>
            </w:r>
          </w:p>
        </w:tc>
        <w:tc>
          <w:tcPr>
            <w:tcW w:w="992" w:type="dxa"/>
            <w:noWrap/>
            <w:vAlign w:val="center"/>
          </w:tcPr>
          <w:p w:rsidR="00AD6A6C" w:rsidRPr="00AD6A6C" w:rsidRDefault="00AD6A6C" w:rsidP="00AD6A6C">
            <w:pPr>
              <w:spacing w:after="0" w:line="240" w:lineRule="auto"/>
              <w:contextualSpacing/>
              <w:jc w:val="center"/>
              <w:rPr>
                <w:rFonts w:ascii="Times New Roman" w:hAnsi="Times New Roman"/>
                <w:sz w:val="28"/>
                <w:szCs w:val="28"/>
                <w:lang w:val="uk-UA"/>
              </w:rPr>
            </w:pPr>
            <w:r w:rsidRPr="00AD6A6C">
              <w:rPr>
                <w:rFonts w:ascii="Times New Roman" w:hAnsi="Times New Roman"/>
                <w:sz w:val="28"/>
                <w:szCs w:val="28"/>
                <w:lang w:val="uk-UA"/>
              </w:rPr>
              <w:t xml:space="preserve">% </w:t>
            </w:r>
          </w:p>
        </w:tc>
        <w:tc>
          <w:tcPr>
            <w:tcW w:w="1114" w:type="dxa"/>
            <w:vMerge/>
            <w:vAlign w:val="center"/>
          </w:tcPr>
          <w:p w:rsidR="00AD6A6C" w:rsidRPr="00AD6A6C" w:rsidRDefault="00AD6A6C" w:rsidP="00AD6A6C">
            <w:pPr>
              <w:spacing w:after="0" w:line="240" w:lineRule="auto"/>
              <w:contextualSpacing/>
              <w:jc w:val="center"/>
              <w:rPr>
                <w:rFonts w:ascii="Times New Roman" w:hAnsi="Times New Roman"/>
                <w:sz w:val="28"/>
                <w:szCs w:val="28"/>
                <w:lang w:val="uk-UA"/>
              </w:rPr>
            </w:pPr>
          </w:p>
        </w:tc>
        <w:tc>
          <w:tcPr>
            <w:tcW w:w="850" w:type="dxa"/>
            <w:vMerge/>
            <w:vAlign w:val="center"/>
          </w:tcPr>
          <w:p w:rsidR="00AD6A6C" w:rsidRPr="00AD6A6C" w:rsidRDefault="00AD6A6C" w:rsidP="00AD6A6C">
            <w:pPr>
              <w:spacing w:after="0" w:line="240" w:lineRule="auto"/>
              <w:contextualSpacing/>
              <w:jc w:val="center"/>
              <w:rPr>
                <w:rFonts w:ascii="Times New Roman" w:hAnsi="Times New Roman"/>
                <w:sz w:val="28"/>
                <w:szCs w:val="28"/>
                <w:lang w:val="uk-UA"/>
              </w:rPr>
            </w:pPr>
          </w:p>
        </w:tc>
      </w:tr>
      <w:tr w:rsidR="00AD6A6C" w:rsidRPr="00AD6A6C" w:rsidTr="00AD6A6C">
        <w:trPr>
          <w:trHeight w:val="45"/>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Херсонська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315618,5</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1603,2</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505999,6</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30,65</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30,65</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А</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Київська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20146,3</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15597</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314221,8</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19,03</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49,68</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А</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Миколаївська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198213</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1495</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296328,4</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17,95</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67,63</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А</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Черкаська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12256,1</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19910,8</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244028,8</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14,78</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82,41</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В</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Дніпропетровська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5814,8</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10582,4</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61534,5</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3,73</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86,13</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В</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 xml:space="preserve">Вінницька </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5082,5</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9228,7</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46904,9</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2,84</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88,97</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В</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Львівська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2731,1</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13914,7</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38002,4</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2,30</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91,28</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В</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Рівненська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2706,7</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12026,2</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32551,3</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1,97</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93,25</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В</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Одеська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18473</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1567,8</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28962,0</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1,75</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95,00</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В</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Сумська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1904,4</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10545,5</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20082,9</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1,22</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96,22</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Харківська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1451,5</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13236,7</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19213,1</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1,16</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97,38</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Івано-Франківська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1841,7</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9256,8</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17048,2</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1,03</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98,42</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Донецька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1241,3</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11496,1</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14270,1</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0,86</w:t>
            </w:r>
          </w:p>
        </w:tc>
        <w:tc>
          <w:tcPr>
            <w:tcW w:w="1114"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99,28</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Полтавська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426,3</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9589,7</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4088,1</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0,25</w:t>
            </w:r>
          </w:p>
        </w:tc>
        <w:tc>
          <w:tcPr>
            <w:tcW w:w="1114"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99,53</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Тернопільська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278,5</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8529,3</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2375,4</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0,14</w:t>
            </w:r>
          </w:p>
        </w:tc>
        <w:tc>
          <w:tcPr>
            <w:tcW w:w="1114"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99,67</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Кіровоградська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443,7</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4783,6</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2122,5</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0,13</w:t>
            </w:r>
          </w:p>
        </w:tc>
        <w:tc>
          <w:tcPr>
            <w:tcW w:w="1114"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99,80</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Запорізька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483,3</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2985,6</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1442,9</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0,09</w:t>
            </w:r>
          </w:p>
        </w:tc>
        <w:tc>
          <w:tcPr>
            <w:tcW w:w="1114"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99,89</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м. Київ</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530,4</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2553,1</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1354,2</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0,08</w:t>
            </w:r>
          </w:p>
        </w:tc>
        <w:tc>
          <w:tcPr>
            <w:tcW w:w="1114"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99,97</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Волинська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31,5</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7648,5</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240,9</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0,01</w:t>
            </w:r>
          </w:p>
        </w:tc>
        <w:tc>
          <w:tcPr>
            <w:tcW w:w="1114"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99,98</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Хмельницька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56,2</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3872</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217,6</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0,01</w:t>
            </w:r>
          </w:p>
        </w:tc>
        <w:tc>
          <w:tcPr>
            <w:tcW w:w="1114"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100,00</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Чернівецька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4,7</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6491,9</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30,5</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0,00</w:t>
            </w:r>
          </w:p>
        </w:tc>
        <w:tc>
          <w:tcPr>
            <w:tcW w:w="1114"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100,00</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Чернігівська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15,2</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1703,8</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25,9</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0,00</w:t>
            </w:r>
          </w:p>
        </w:tc>
        <w:tc>
          <w:tcPr>
            <w:tcW w:w="1114"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100,00</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Разом</w:t>
            </w:r>
          </w:p>
        </w:tc>
        <w:tc>
          <w:tcPr>
            <w:tcW w:w="1417" w:type="dxa"/>
            <w:vAlign w:val="bottom"/>
          </w:tcPr>
          <w:p w:rsidR="00AD6A6C" w:rsidRPr="00AD6A6C" w:rsidRDefault="00AD6A6C" w:rsidP="00AD6A6C">
            <w:pPr>
              <w:spacing w:after="0" w:line="240" w:lineRule="auto"/>
              <w:jc w:val="right"/>
              <w:rPr>
                <w:rFonts w:ascii="Times New Roman" w:hAnsi="Times New Roman"/>
                <w:color w:val="000000"/>
                <w:sz w:val="28"/>
                <w:szCs w:val="28"/>
                <w:lang w:val="uk-UA"/>
              </w:rPr>
            </w:pPr>
            <w:r w:rsidRPr="00AD6A6C">
              <w:rPr>
                <w:rFonts w:ascii="Times New Roman" w:hAnsi="Times New Roman"/>
                <w:color w:val="000000"/>
                <w:sz w:val="28"/>
                <w:szCs w:val="28"/>
                <w:lang w:val="uk-UA"/>
              </w:rPr>
              <w:t>589750,7</w:t>
            </w:r>
          </w:p>
        </w:tc>
        <w:tc>
          <w:tcPr>
            <w:tcW w:w="1276" w:type="dxa"/>
            <w:vAlign w:val="bottom"/>
          </w:tcPr>
          <w:p w:rsidR="00AD6A6C" w:rsidRPr="00AD6A6C" w:rsidRDefault="00AD6A6C" w:rsidP="00AD6A6C">
            <w:pPr>
              <w:spacing w:after="0" w:line="240" w:lineRule="auto"/>
              <w:jc w:val="right"/>
              <w:rPr>
                <w:rFonts w:ascii="Times New Roman" w:hAnsi="Times New Roman"/>
                <w:color w:val="000000"/>
                <w:sz w:val="28"/>
                <w:szCs w:val="28"/>
                <w:lang w:val="uk-UA"/>
              </w:rPr>
            </w:pPr>
            <w:r w:rsidRPr="00AD6A6C">
              <w:rPr>
                <w:rFonts w:ascii="Times New Roman" w:hAnsi="Times New Roman"/>
                <w:color w:val="000000"/>
                <w:sz w:val="28"/>
                <w:szCs w:val="28"/>
                <w:lang w:val="uk-UA"/>
              </w:rPr>
              <w:t>178618,4</w:t>
            </w:r>
          </w:p>
        </w:tc>
        <w:tc>
          <w:tcPr>
            <w:tcW w:w="1276" w:type="dxa"/>
            <w:noWrap/>
            <w:vAlign w:val="bottom"/>
          </w:tcPr>
          <w:p w:rsidR="00AD6A6C" w:rsidRPr="00AD6A6C" w:rsidRDefault="00AD6A6C" w:rsidP="00AD6A6C">
            <w:pPr>
              <w:spacing w:after="0" w:line="240" w:lineRule="auto"/>
              <w:jc w:val="right"/>
              <w:rPr>
                <w:rFonts w:ascii="Times New Roman" w:hAnsi="Times New Roman"/>
                <w:color w:val="000000"/>
                <w:sz w:val="28"/>
                <w:szCs w:val="28"/>
                <w:lang w:val="uk-UA"/>
              </w:rPr>
            </w:pPr>
            <w:r w:rsidRPr="00AD6A6C">
              <w:rPr>
                <w:rFonts w:ascii="Times New Roman" w:hAnsi="Times New Roman"/>
                <w:color w:val="000000"/>
                <w:sz w:val="28"/>
                <w:szCs w:val="28"/>
                <w:lang w:val="uk-UA"/>
              </w:rPr>
              <w:t>1651046</w:t>
            </w:r>
          </w:p>
        </w:tc>
        <w:tc>
          <w:tcPr>
            <w:tcW w:w="992" w:type="dxa"/>
            <w:noWrap/>
            <w:vAlign w:val="bottom"/>
          </w:tcPr>
          <w:p w:rsidR="00AD6A6C" w:rsidRPr="00AD6A6C" w:rsidRDefault="00AD6A6C" w:rsidP="00AD6A6C">
            <w:pPr>
              <w:spacing w:after="0" w:line="240" w:lineRule="auto"/>
              <w:jc w:val="right"/>
              <w:rPr>
                <w:rFonts w:ascii="Times New Roman" w:hAnsi="Times New Roman"/>
                <w:color w:val="000000"/>
                <w:sz w:val="28"/>
                <w:szCs w:val="28"/>
                <w:lang w:val="uk-UA"/>
              </w:rPr>
            </w:pPr>
            <w:r w:rsidRPr="00AD6A6C">
              <w:rPr>
                <w:rFonts w:ascii="Times New Roman" w:hAnsi="Times New Roman"/>
                <w:color w:val="000000"/>
                <w:sz w:val="28"/>
                <w:szCs w:val="28"/>
                <w:lang w:val="uk-UA"/>
              </w:rPr>
              <w:t>100</w:t>
            </w:r>
          </w:p>
        </w:tc>
        <w:tc>
          <w:tcPr>
            <w:tcW w:w="1114" w:type="dxa"/>
            <w:noWrap/>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 -</w:t>
            </w:r>
          </w:p>
        </w:tc>
        <w:tc>
          <w:tcPr>
            <w:tcW w:w="850" w:type="dxa"/>
            <w:noWrap/>
            <w:vAlign w:val="bottom"/>
          </w:tcPr>
          <w:p w:rsidR="00AD6A6C" w:rsidRPr="00AD6A6C" w:rsidRDefault="00AD6A6C" w:rsidP="00AD6A6C">
            <w:pPr>
              <w:spacing w:after="0" w:line="240" w:lineRule="auto"/>
              <w:jc w:val="right"/>
              <w:rPr>
                <w:rFonts w:ascii="Times New Roman" w:hAnsi="Times New Roman"/>
                <w:color w:val="000000"/>
                <w:sz w:val="28"/>
                <w:szCs w:val="28"/>
                <w:lang w:val="uk-UA"/>
              </w:rPr>
            </w:pPr>
            <w:r w:rsidRPr="00AD6A6C">
              <w:rPr>
                <w:rFonts w:ascii="Times New Roman" w:hAnsi="Times New Roman"/>
                <w:color w:val="000000"/>
                <w:sz w:val="28"/>
                <w:szCs w:val="28"/>
                <w:lang w:val="uk-UA"/>
              </w:rPr>
              <w:t>*</w:t>
            </w:r>
          </w:p>
        </w:tc>
      </w:tr>
    </w:tbl>
    <w:p w:rsidR="00AD6A6C" w:rsidRPr="00AD6A6C" w:rsidRDefault="00AD6A6C" w:rsidP="00AD6A6C">
      <w:pPr>
        <w:spacing w:after="0" w:line="240" w:lineRule="auto"/>
        <w:ind w:firstLine="540"/>
        <w:contextualSpacing/>
        <w:jc w:val="both"/>
        <w:rPr>
          <w:rFonts w:ascii="Times New Roman" w:hAnsi="Times New Roman"/>
          <w:sz w:val="28"/>
          <w:szCs w:val="28"/>
          <w:lang w:val="uk-UA"/>
        </w:rPr>
      </w:pPr>
    </w:p>
    <w:p w:rsidR="00AD6A6C" w:rsidRPr="00AD6A6C" w:rsidRDefault="00AD6A6C" w:rsidP="00AD6A6C">
      <w:pPr>
        <w:spacing w:after="0" w:line="240" w:lineRule="auto"/>
        <w:ind w:firstLine="440"/>
        <w:contextualSpacing/>
        <w:jc w:val="both"/>
        <w:rPr>
          <w:rFonts w:ascii="Times New Roman" w:hAnsi="Times New Roman"/>
          <w:sz w:val="28"/>
          <w:szCs w:val="28"/>
          <w:lang w:val="uk-UA"/>
        </w:rPr>
      </w:pPr>
      <w:r w:rsidRPr="00AD6A6C">
        <w:rPr>
          <w:rFonts w:ascii="Times New Roman" w:hAnsi="Times New Roman"/>
          <w:sz w:val="28"/>
          <w:szCs w:val="28"/>
          <w:lang w:val="uk-UA"/>
        </w:rPr>
        <w:t>В Україні спостерігається нерівномірність реалізації томатів за областями, що вимагає визначення основних регіонів постачання для подальшої організації та функціонування оптових ринків, фермерських ярмарок, центрів пакування та переробки. Більш того, ціна реалізації коливається, що значно зменшує вартість товарної продукції.</w:t>
      </w:r>
    </w:p>
    <w:p w:rsidR="00AD6A6C" w:rsidRPr="00AD6A6C" w:rsidRDefault="00AD6A6C" w:rsidP="00AD6A6C">
      <w:pPr>
        <w:spacing w:after="0" w:line="240" w:lineRule="auto"/>
        <w:ind w:firstLine="540"/>
        <w:contextualSpacing/>
        <w:jc w:val="both"/>
        <w:rPr>
          <w:rFonts w:ascii="Times New Roman" w:hAnsi="Times New Roman"/>
          <w:sz w:val="28"/>
          <w:szCs w:val="28"/>
          <w:lang w:val="uk-UA"/>
        </w:rPr>
      </w:pPr>
    </w:p>
    <w:p w:rsidR="00AD6A6C" w:rsidRPr="00AD6A6C" w:rsidRDefault="00AD6A6C" w:rsidP="00AD6A6C">
      <w:pPr>
        <w:spacing w:after="0" w:line="240" w:lineRule="auto"/>
        <w:contextualSpacing/>
        <w:jc w:val="both"/>
        <w:rPr>
          <w:rFonts w:ascii="Times New Roman" w:hAnsi="Times New Roman"/>
          <w:sz w:val="28"/>
          <w:szCs w:val="28"/>
          <w:lang w:val="uk-UA"/>
        </w:rPr>
      </w:pPr>
      <w:r w:rsidRPr="00AD6A6C">
        <w:rPr>
          <w:rFonts w:ascii="Times New Roman" w:hAnsi="Times New Roman"/>
          <w:noProof/>
          <w:sz w:val="28"/>
          <w:szCs w:val="28"/>
          <w:lang w:eastAsia="ru-RU"/>
        </w:rPr>
        <w:drawing>
          <wp:inline distT="0" distB="0" distL="0" distR="0" wp14:anchorId="7A50DE4E" wp14:editId="0B6D5EB5">
            <wp:extent cx="5922169" cy="2370455"/>
            <wp:effectExtent l="0" t="0" r="2540" b="0"/>
            <wp:docPr id="13"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D6A6C" w:rsidRPr="00AD6A6C" w:rsidRDefault="00AD6A6C" w:rsidP="00AD6A6C">
      <w:pPr>
        <w:spacing w:after="0" w:line="240" w:lineRule="auto"/>
        <w:ind w:firstLine="540"/>
        <w:contextualSpacing/>
        <w:rPr>
          <w:rFonts w:ascii="Times New Roman" w:hAnsi="Times New Roman"/>
          <w:b/>
          <w:sz w:val="28"/>
          <w:szCs w:val="28"/>
          <w:lang w:val="uk-UA"/>
        </w:rPr>
      </w:pPr>
      <w:r w:rsidRPr="00AD6A6C">
        <w:rPr>
          <w:rFonts w:ascii="Times New Roman" w:hAnsi="Times New Roman"/>
          <w:i/>
          <w:sz w:val="28"/>
          <w:szCs w:val="28"/>
          <w:lang w:val="uk-UA"/>
        </w:rPr>
        <w:t>Рис 1.1.</w:t>
      </w:r>
      <w:r w:rsidRPr="00AD6A6C">
        <w:rPr>
          <w:rFonts w:ascii="Times New Roman" w:hAnsi="Times New Roman"/>
          <w:sz w:val="28"/>
          <w:szCs w:val="28"/>
          <w:lang w:val="uk-UA"/>
        </w:rPr>
        <w:t xml:space="preserve"> </w:t>
      </w:r>
      <w:r w:rsidRPr="00AD6A6C">
        <w:rPr>
          <w:rFonts w:ascii="Times New Roman" w:hAnsi="Times New Roman"/>
          <w:b/>
          <w:sz w:val="28"/>
          <w:szCs w:val="28"/>
          <w:lang w:val="uk-UA"/>
        </w:rPr>
        <w:t>Кумулятивна структура АВС</w:t>
      </w:r>
    </w:p>
    <w:p w:rsidR="00AD6A6C" w:rsidRPr="00AD6A6C" w:rsidRDefault="00AD6A6C" w:rsidP="00AD6A6C">
      <w:pPr>
        <w:spacing w:after="0" w:line="240" w:lineRule="auto"/>
        <w:ind w:firstLine="540"/>
        <w:contextualSpacing/>
        <w:jc w:val="both"/>
        <w:rPr>
          <w:rFonts w:ascii="Times New Roman" w:hAnsi="Times New Roman"/>
          <w:sz w:val="28"/>
          <w:szCs w:val="28"/>
          <w:lang w:val="uk-UA"/>
        </w:rPr>
      </w:pPr>
    </w:p>
    <w:p w:rsidR="00AD6A6C" w:rsidRPr="00AD6A6C" w:rsidRDefault="00AD6A6C" w:rsidP="00AD6A6C">
      <w:pPr>
        <w:spacing w:after="0" w:line="240" w:lineRule="auto"/>
        <w:ind w:firstLine="440"/>
        <w:contextualSpacing/>
        <w:jc w:val="both"/>
        <w:rPr>
          <w:rFonts w:ascii="Times New Roman" w:hAnsi="Times New Roman"/>
          <w:sz w:val="28"/>
          <w:szCs w:val="28"/>
          <w:lang w:val="uk-UA"/>
        </w:rPr>
      </w:pPr>
      <w:r w:rsidRPr="00AD6A6C">
        <w:rPr>
          <w:rFonts w:ascii="Times New Roman" w:hAnsi="Times New Roman"/>
          <w:sz w:val="28"/>
          <w:szCs w:val="28"/>
          <w:lang w:val="uk-UA"/>
        </w:rPr>
        <w:t xml:space="preserve">Аналіз АВС показав, що до основної стратегічної групи, яка формує 80% реалізації томатів в Україні у 2015 році, відносяться сільськогосподарські підприємства Херсонської, Київської та Миколаївської областей. Загалом, у 2015 році їх виручка від реалізації становить 1116,5 млн. грн. До групи В відносяться підприємства областей, де овочі, взагалі томати, не є основою спеціалізації виробництва. У таких регіонах виручка від реалізації коливається від 28 до 244 тис грн. Тут слід зауважити, що не всі управлінські рішення, пов'язані з логістикою, можуть бути економічно ефективними. Області, в яких сільськогосподарські підприємства реалізують менш ніж 1,22% відносяться до групи С, отже до регіонах яких не бажано організовувати логістичні центри. </w:t>
      </w:r>
    </w:p>
    <w:p w:rsidR="00AD6A6C" w:rsidRDefault="00AD6A6C" w:rsidP="00AD6A6C">
      <w:pPr>
        <w:spacing w:after="0" w:line="240" w:lineRule="auto"/>
        <w:ind w:firstLine="540"/>
        <w:contextualSpacing/>
        <w:jc w:val="both"/>
        <w:rPr>
          <w:rFonts w:ascii="Times New Roman" w:hAnsi="Times New Roman"/>
          <w:sz w:val="28"/>
          <w:szCs w:val="28"/>
          <w:lang w:val="uk-UA"/>
        </w:rPr>
        <w:sectPr w:rsidR="00AD6A6C">
          <w:footerReference w:type="default" r:id="rId9"/>
          <w:pgSz w:w="11906" w:h="16838"/>
          <w:pgMar w:top="1134" w:right="850" w:bottom="1134" w:left="1701" w:header="708" w:footer="708" w:gutter="0"/>
          <w:cols w:space="708"/>
          <w:docGrid w:linePitch="360"/>
        </w:sectPr>
      </w:pPr>
    </w:p>
    <w:p w:rsidR="00AD6A6C" w:rsidRPr="00AD6A6C" w:rsidRDefault="00AD6A6C" w:rsidP="00AD6A6C">
      <w:pPr>
        <w:spacing w:after="0" w:line="240" w:lineRule="auto"/>
        <w:ind w:firstLine="539"/>
        <w:contextualSpacing/>
        <w:jc w:val="center"/>
        <w:rPr>
          <w:rFonts w:ascii="Times New Roman" w:hAnsi="Times New Roman"/>
          <w:b/>
          <w:sz w:val="28"/>
          <w:szCs w:val="28"/>
          <w:lang w:val="uk-UA"/>
        </w:rPr>
      </w:pPr>
      <w:r w:rsidRPr="00AD6A6C">
        <w:rPr>
          <w:rFonts w:ascii="Times New Roman" w:hAnsi="Times New Roman"/>
          <w:b/>
          <w:sz w:val="28"/>
          <w:szCs w:val="28"/>
          <w:lang w:val="uk-UA"/>
        </w:rPr>
        <w:lastRenderedPageBreak/>
        <w:t>Вихідні дані реалізації томатів в Україні</w:t>
      </w:r>
    </w:p>
    <w:tbl>
      <w:tblPr>
        <w:tblW w:w="14936" w:type="dxa"/>
        <w:tblInd w:w="100" w:type="dxa"/>
        <w:tblLook w:val="00A0" w:firstRow="1" w:lastRow="0" w:firstColumn="1" w:lastColumn="0" w:noHBand="0" w:noVBand="0"/>
      </w:tblPr>
      <w:tblGrid>
        <w:gridCol w:w="4131"/>
        <w:gridCol w:w="1237"/>
        <w:gridCol w:w="876"/>
        <w:gridCol w:w="1237"/>
        <w:gridCol w:w="876"/>
        <w:gridCol w:w="1237"/>
        <w:gridCol w:w="876"/>
        <w:gridCol w:w="1237"/>
        <w:gridCol w:w="996"/>
        <w:gridCol w:w="1237"/>
        <w:gridCol w:w="996"/>
      </w:tblGrid>
      <w:tr w:rsidR="00AD6A6C" w:rsidRPr="00AD6A6C" w:rsidTr="00AD6A6C">
        <w:trPr>
          <w:trHeight w:val="70"/>
        </w:trPr>
        <w:tc>
          <w:tcPr>
            <w:tcW w:w="4131" w:type="dxa"/>
            <w:vMerge w:val="restart"/>
            <w:tcBorders>
              <w:top w:val="single" w:sz="4" w:space="0" w:color="auto"/>
              <w:left w:val="single" w:sz="4" w:space="0" w:color="auto"/>
              <w:right w:val="single" w:sz="4" w:space="0" w:color="auto"/>
            </w:tcBorders>
            <w:noWrap/>
            <w:vAlign w:val="bottom"/>
          </w:tcPr>
          <w:p w:rsidR="00AD6A6C" w:rsidRPr="00AD6A6C" w:rsidRDefault="00AD6A6C" w:rsidP="00310EA4">
            <w:pPr>
              <w:spacing w:after="0" w:line="240" w:lineRule="auto"/>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Область</w:t>
            </w:r>
          </w:p>
        </w:tc>
        <w:tc>
          <w:tcPr>
            <w:tcW w:w="2113" w:type="dxa"/>
            <w:gridSpan w:val="2"/>
            <w:tcBorders>
              <w:top w:val="single" w:sz="4" w:space="0" w:color="auto"/>
              <w:left w:val="nil"/>
              <w:bottom w:val="single" w:sz="4" w:space="0" w:color="auto"/>
              <w:right w:val="single" w:sz="4" w:space="0" w:color="auto"/>
            </w:tcBorders>
            <w:noWrap/>
            <w:vAlign w:val="bottom"/>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2011</w:t>
            </w:r>
          </w:p>
        </w:tc>
        <w:tc>
          <w:tcPr>
            <w:tcW w:w="2113" w:type="dxa"/>
            <w:gridSpan w:val="2"/>
            <w:tcBorders>
              <w:top w:val="single" w:sz="4" w:space="0" w:color="auto"/>
              <w:left w:val="nil"/>
              <w:bottom w:val="single" w:sz="4" w:space="0" w:color="auto"/>
              <w:right w:val="single" w:sz="4" w:space="0" w:color="auto"/>
            </w:tcBorders>
            <w:noWrap/>
            <w:vAlign w:val="bottom"/>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2012</w:t>
            </w:r>
          </w:p>
        </w:tc>
        <w:tc>
          <w:tcPr>
            <w:tcW w:w="2113" w:type="dxa"/>
            <w:gridSpan w:val="2"/>
            <w:tcBorders>
              <w:top w:val="single" w:sz="4" w:space="0" w:color="auto"/>
              <w:left w:val="nil"/>
              <w:bottom w:val="single" w:sz="4" w:space="0" w:color="auto"/>
              <w:right w:val="single" w:sz="4" w:space="0" w:color="auto"/>
            </w:tcBorders>
            <w:noWrap/>
            <w:vAlign w:val="bottom"/>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2013</w:t>
            </w:r>
          </w:p>
        </w:tc>
        <w:tc>
          <w:tcPr>
            <w:tcW w:w="2233" w:type="dxa"/>
            <w:gridSpan w:val="2"/>
            <w:tcBorders>
              <w:top w:val="single" w:sz="4" w:space="0" w:color="auto"/>
              <w:left w:val="nil"/>
              <w:bottom w:val="single" w:sz="4" w:space="0" w:color="auto"/>
              <w:right w:val="single" w:sz="4" w:space="0" w:color="auto"/>
            </w:tcBorders>
            <w:noWrap/>
            <w:vAlign w:val="bottom"/>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2014</w:t>
            </w:r>
          </w:p>
        </w:tc>
        <w:tc>
          <w:tcPr>
            <w:tcW w:w="2233" w:type="dxa"/>
            <w:gridSpan w:val="2"/>
            <w:tcBorders>
              <w:top w:val="single" w:sz="4" w:space="0" w:color="auto"/>
              <w:left w:val="nil"/>
              <w:bottom w:val="single" w:sz="4" w:space="0" w:color="auto"/>
              <w:right w:val="single" w:sz="4" w:space="0" w:color="auto"/>
            </w:tcBorders>
            <w:noWrap/>
            <w:vAlign w:val="bottom"/>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2015</w:t>
            </w:r>
          </w:p>
        </w:tc>
      </w:tr>
      <w:tr w:rsidR="00AD6A6C" w:rsidRPr="00AD6A6C" w:rsidTr="00AD6A6C">
        <w:trPr>
          <w:trHeight w:val="70"/>
        </w:trPr>
        <w:tc>
          <w:tcPr>
            <w:tcW w:w="4131" w:type="dxa"/>
            <w:vMerge/>
            <w:tcBorders>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rPr>
                <w:rFonts w:ascii="Times New Roman" w:hAnsi="Times New Roman"/>
                <w:color w:val="000000"/>
                <w:sz w:val="24"/>
                <w:szCs w:val="24"/>
                <w:lang w:val="uk-UA" w:eastAsia="ru-RU"/>
              </w:rPr>
            </w:pPr>
          </w:p>
        </w:tc>
        <w:tc>
          <w:tcPr>
            <w:tcW w:w="1237" w:type="dxa"/>
            <w:tcBorders>
              <w:top w:val="nil"/>
              <w:left w:val="nil"/>
              <w:bottom w:val="single" w:sz="4" w:space="0" w:color="auto"/>
              <w:right w:val="single" w:sz="4" w:space="0" w:color="auto"/>
            </w:tcBorders>
            <w:noWrap/>
            <w:vAlign w:val="center"/>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Кількість,</w:t>
            </w:r>
          </w:p>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т</w:t>
            </w:r>
          </w:p>
        </w:tc>
        <w:tc>
          <w:tcPr>
            <w:tcW w:w="876" w:type="dxa"/>
            <w:tcBorders>
              <w:top w:val="nil"/>
              <w:left w:val="nil"/>
              <w:bottom w:val="single" w:sz="4" w:space="0" w:color="auto"/>
              <w:right w:val="single" w:sz="4" w:space="0" w:color="auto"/>
            </w:tcBorders>
            <w:noWrap/>
            <w:vAlign w:val="center"/>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Ціна, грн./т</w:t>
            </w:r>
          </w:p>
        </w:tc>
        <w:tc>
          <w:tcPr>
            <w:tcW w:w="1237" w:type="dxa"/>
            <w:tcBorders>
              <w:top w:val="nil"/>
              <w:left w:val="nil"/>
              <w:bottom w:val="single" w:sz="4" w:space="0" w:color="auto"/>
              <w:right w:val="single" w:sz="4" w:space="0" w:color="auto"/>
            </w:tcBorders>
            <w:noWrap/>
            <w:vAlign w:val="center"/>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Кількість,</w:t>
            </w:r>
          </w:p>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т</w:t>
            </w:r>
          </w:p>
        </w:tc>
        <w:tc>
          <w:tcPr>
            <w:tcW w:w="876" w:type="dxa"/>
            <w:tcBorders>
              <w:top w:val="nil"/>
              <w:left w:val="nil"/>
              <w:bottom w:val="single" w:sz="4" w:space="0" w:color="auto"/>
              <w:right w:val="single" w:sz="4" w:space="0" w:color="auto"/>
            </w:tcBorders>
            <w:noWrap/>
            <w:vAlign w:val="center"/>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Ціна, грн./т</w:t>
            </w:r>
          </w:p>
        </w:tc>
        <w:tc>
          <w:tcPr>
            <w:tcW w:w="1237" w:type="dxa"/>
            <w:tcBorders>
              <w:top w:val="nil"/>
              <w:left w:val="nil"/>
              <w:bottom w:val="single" w:sz="4" w:space="0" w:color="auto"/>
              <w:right w:val="single" w:sz="4" w:space="0" w:color="auto"/>
            </w:tcBorders>
            <w:noWrap/>
            <w:vAlign w:val="center"/>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Кількість,</w:t>
            </w:r>
          </w:p>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т</w:t>
            </w:r>
          </w:p>
        </w:tc>
        <w:tc>
          <w:tcPr>
            <w:tcW w:w="876" w:type="dxa"/>
            <w:tcBorders>
              <w:top w:val="nil"/>
              <w:left w:val="nil"/>
              <w:bottom w:val="single" w:sz="4" w:space="0" w:color="auto"/>
              <w:right w:val="single" w:sz="4" w:space="0" w:color="auto"/>
            </w:tcBorders>
            <w:noWrap/>
            <w:vAlign w:val="center"/>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Ціна, грн./т</w:t>
            </w:r>
          </w:p>
        </w:tc>
        <w:tc>
          <w:tcPr>
            <w:tcW w:w="1237" w:type="dxa"/>
            <w:tcBorders>
              <w:top w:val="nil"/>
              <w:left w:val="nil"/>
              <w:bottom w:val="single" w:sz="4" w:space="0" w:color="auto"/>
              <w:right w:val="single" w:sz="4" w:space="0" w:color="auto"/>
            </w:tcBorders>
            <w:noWrap/>
            <w:vAlign w:val="center"/>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Кількість,</w:t>
            </w:r>
          </w:p>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т</w:t>
            </w:r>
          </w:p>
        </w:tc>
        <w:tc>
          <w:tcPr>
            <w:tcW w:w="996" w:type="dxa"/>
            <w:tcBorders>
              <w:top w:val="nil"/>
              <w:left w:val="nil"/>
              <w:bottom w:val="single" w:sz="4" w:space="0" w:color="auto"/>
              <w:right w:val="single" w:sz="4" w:space="0" w:color="auto"/>
            </w:tcBorders>
            <w:noWrap/>
            <w:vAlign w:val="center"/>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Ціна, грн./т</w:t>
            </w:r>
          </w:p>
        </w:tc>
        <w:tc>
          <w:tcPr>
            <w:tcW w:w="1237" w:type="dxa"/>
            <w:tcBorders>
              <w:top w:val="nil"/>
              <w:left w:val="nil"/>
              <w:bottom w:val="single" w:sz="4" w:space="0" w:color="auto"/>
              <w:right w:val="single" w:sz="4" w:space="0" w:color="auto"/>
            </w:tcBorders>
            <w:noWrap/>
            <w:vAlign w:val="center"/>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Кількість,</w:t>
            </w:r>
          </w:p>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т</w:t>
            </w:r>
          </w:p>
        </w:tc>
        <w:tc>
          <w:tcPr>
            <w:tcW w:w="996" w:type="dxa"/>
            <w:tcBorders>
              <w:top w:val="nil"/>
              <w:left w:val="nil"/>
              <w:bottom w:val="single" w:sz="4" w:space="0" w:color="auto"/>
              <w:right w:val="single" w:sz="4" w:space="0" w:color="auto"/>
            </w:tcBorders>
            <w:noWrap/>
            <w:vAlign w:val="center"/>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Ціна, грн./т</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 xml:space="preserve">Вінницька </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1089</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1059,3</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704</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3024,9</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7034</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6136,8</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2900,2</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9286,5</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5082,5</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9228,7</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Волинська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83</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2197,6</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31</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2687,1</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8752</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1802,4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47,4</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7998,7</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31,5</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7648,5</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Дніпропетровська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7685</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3454,5</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6268</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4778,8</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74547</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2948,6</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7077,9</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7796,4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5814,8</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10582,4</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Донецька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4861</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5577</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4070</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7329,4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40166</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3202,2</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3278,6</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8708,6</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1241,3</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11496,1</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Житомирська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1145</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7541,4</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1413</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7466,2</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5091</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4825,4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903,1</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10982,0</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 xml:space="preserve">… ¹ </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 xml:space="preserve">… ¹ </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Закарпатська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23</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3417,4</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497</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5265,8</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1375</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8592,7</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461,1</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12881,6</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 xml:space="preserve">… ¹ </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 xml:space="preserve">… ¹ </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Запорізька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4159</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1090,6</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2491</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1257,2</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13845</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2142,3</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1004,2</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1592,4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483,3</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2985,6</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Івано-Франківська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2136</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5925,3</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1810</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7200,2</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5673</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4466,7</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1834,9</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7934,9</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1841,7</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9256,8</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Київська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19546</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7274,5</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19052</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8363,3</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41161</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5987,1</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20757,6</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10906,3</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20146,3</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15597,0</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Кіровоградська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760</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3078,3</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230</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1581,7</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7346</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4486,9</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434,4</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3357,8</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443,7</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4783,6</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Луганська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453</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2907,9</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348</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4551,7</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3354</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2631,4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43,8</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14820,4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 xml:space="preserve">… ¹ </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 xml:space="preserve">… ¹ </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Львівська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3326</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7175,6</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3030</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8145,4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13588</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4822,8</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3152,8</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10541,9</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2731,1</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13914,7</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Миколаївська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177579</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583,6</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208694</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560</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175504</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782,6</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214102,7</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794,7</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198213,0</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1495,0</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Одеська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25027</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730,4</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11453</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859,2</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52949</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1324,2</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16639,5</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1165,6</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18473,0</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1567,8</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Полтавська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754</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6068,2</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475</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8462,3</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4674</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4694,0</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697,1</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10453,9</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426,3</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9589,7</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Рівненська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2699</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6340,5</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2941</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7163,3</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9539</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3968,6</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2487,1</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9024,7</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2706,7</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12026,2</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Сумська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1454</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5268,4</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1473</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6966,5</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4900</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5454,8</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1449,7</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8013,3</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1904,4</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10545,5</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Тернопільська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31</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2129</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101</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1228,7</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15701</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3624,9</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1081,6</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14080,4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278,5</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8529,3</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Харківська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2466</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5973,2</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24548</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6909,7</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29439</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5021,9</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2621,7</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11737,1</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1451,5</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13236,7</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Херсонська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204079</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609,5</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186958</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618,4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285021</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1147,4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239818,1</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1052,1</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315618,5</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1603,2</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Хмельницька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16</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1137,5</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16</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1843,8</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5044</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1881,7</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27,4</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2075,3</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56,2</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3872,0</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Черкаська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18974</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8679,9</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17812</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10418</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42703</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6079,0</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13245,4</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14363,3</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12256,1</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19910,8</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Чернівецька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30</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2416,7</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18</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3533,3</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808</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1816,2</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18,7</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4158,2</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4,7</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6491,9</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Чернігівська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1281</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5677,7</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1386</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6350,6</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826</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2869,9</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9,9</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4674,2</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15,2</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1703,8</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м. Київ</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39</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7782,1</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147</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1650,3</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2136</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4737,1</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434,0</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3487,0</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530,4</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2553,1</w:t>
            </w:r>
          </w:p>
        </w:tc>
      </w:tr>
    </w:tbl>
    <w:p w:rsidR="00AD6A6C" w:rsidRPr="00AD6A6C" w:rsidRDefault="00AD6A6C" w:rsidP="00AD6A6C">
      <w:pPr>
        <w:spacing w:after="0" w:line="240" w:lineRule="auto"/>
        <w:ind w:firstLine="425"/>
        <w:contextualSpacing/>
        <w:jc w:val="both"/>
        <w:rPr>
          <w:rFonts w:ascii="Times New Roman" w:hAnsi="Times New Roman"/>
          <w:sz w:val="28"/>
          <w:szCs w:val="28"/>
          <w:lang w:val="uk-UA"/>
        </w:rPr>
      </w:pPr>
      <w:r w:rsidRPr="00AD6A6C">
        <w:rPr>
          <w:rFonts w:ascii="Times New Roman" w:hAnsi="Times New Roman"/>
          <w:sz w:val="28"/>
          <w:szCs w:val="28"/>
          <w:lang w:val="uk-UA"/>
        </w:rPr>
        <w:t>¹ Дані вилучено з метою забезпечення виконання вимог Закону України «Про державну статистику» щодо конфіденційності інформації.</w:t>
      </w:r>
    </w:p>
    <w:sectPr w:rsidR="00AD6A6C" w:rsidRPr="00AD6A6C" w:rsidSect="00AD6A6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FDD" w:rsidRDefault="00410FDD">
      <w:pPr>
        <w:spacing w:after="0" w:line="240" w:lineRule="auto"/>
      </w:pPr>
      <w:r>
        <w:separator/>
      </w:r>
    </w:p>
  </w:endnote>
  <w:endnote w:type="continuationSeparator" w:id="0">
    <w:p w:rsidR="00410FDD" w:rsidRDefault="00410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6CA" w:rsidRDefault="00410FDD">
    <w:pPr>
      <w:pStyle w:val="aa"/>
      <w:jc w:val="center"/>
      <w:rPr>
        <w:lang w:val="uk-UA"/>
      </w:rPr>
    </w:pPr>
  </w:p>
  <w:p w:rsidR="00F376CA" w:rsidRPr="00E04D43" w:rsidRDefault="00AD6A6C" w:rsidP="00E04D43">
    <w:pPr>
      <w:pStyle w:val="aa"/>
      <w:jc w:val="center"/>
    </w:pPr>
    <w:r w:rsidRPr="00FC19E1">
      <w:rPr>
        <w:rFonts w:ascii="Cambria" w:hAnsi="Cambria"/>
        <w:sz w:val="18"/>
        <w:szCs w:val="18"/>
      </w:rPr>
      <w:fldChar w:fldCharType="begin"/>
    </w:r>
    <w:r w:rsidRPr="00FC19E1">
      <w:rPr>
        <w:rFonts w:ascii="Cambria" w:hAnsi="Cambria"/>
        <w:sz w:val="18"/>
        <w:szCs w:val="18"/>
      </w:rPr>
      <w:instrText xml:space="preserve"> PAGE   \* MERGEFORMAT </w:instrText>
    </w:r>
    <w:r w:rsidRPr="00FC19E1">
      <w:rPr>
        <w:rFonts w:ascii="Cambria" w:hAnsi="Cambria"/>
        <w:sz w:val="18"/>
        <w:szCs w:val="18"/>
      </w:rPr>
      <w:fldChar w:fldCharType="separate"/>
    </w:r>
    <w:r w:rsidR="006628FE">
      <w:rPr>
        <w:rFonts w:ascii="Cambria" w:hAnsi="Cambria"/>
        <w:noProof/>
        <w:sz w:val="18"/>
        <w:szCs w:val="18"/>
      </w:rPr>
      <w:t>1</w:t>
    </w:r>
    <w:r w:rsidRPr="00FC19E1">
      <w:rPr>
        <w:rFonts w:ascii="Cambria" w:hAnsi="Cambri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FDD" w:rsidRDefault="00410FDD">
      <w:pPr>
        <w:spacing w:after="0" w:line="240" w:lineRule="auto"/>
      </w:pPr>
      <w:r>
        <w:separator/>
      </w:r>
    </w:p>
  </w:footnote>
  <w:footnote w:type="continuationSeparator" w:id="0">
    <w:p w:rsidR="00410FDD" w:rsidRDefault="00410F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0FC9"/>
    <w:multiLevelType w:val="hybridMultilevel"/>
    <w:tmpl w:val="7542CF46"/>
    <w:lvl w:ilvl="0" w:tplc="04090001">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A6C"/>
    <w:rsid w:val="00291076"/>
    <w:rsid w:val="00410FDD"/>
    <w:rsid w:val="006628FE"/>
    <w:rsid w:val="006D238E"/>
    <w:rsid w:val="00AD6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A6C"/>
    <w:pPr>
      <w:spacing w:after="200" w:line="276" w:lineRule="auto"/>
    </w:pPr>
    <w:rPr>
      <w:rFonts w:ascii="Calibri" w:eastAsia="Calibri" w:hAnsi="Calibri" w:cs="Times New Roman"/>
    </w:rPr>
  </w:style>
  <w:style w:type="paragraph" w:styleId="4">
    <w:name w:val="heading 4"/>
    <w:basedOn w:val="a"/>
    <w:link w:val="40"/>
    <w:uiPriority w:val="99"/>
    <w:qFormat/>
    <w:rsid w:val="00AD6A6C"/>
    <w:pPr>
      <w:spacing w:before="100" w:beforeAutospacing="1" w:after="100" w:afterAutospacing="1" w:line="240" w:lineRule="auto"/>
      <w:outlineLvl w:val="3"/>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AD6A6C"/>
    <w:rPr>
      <w:rFonts w:ascii="Times New Roman" w:eastAsia="Calibri" w:hAnsi="Times New Roman" w:cs="Times New Roman"/>
      <w:b/>
      <w:bCs/>
      <w:sz w:val="24"/>
      <w:szCs w:val="24"/>
      <w:lang w:eastAsia="ru-RU"/>
    </w:rPr>
  </w:style>
  <w:style w:type="paragraph" w:styleId="a3">
    <w:name w:val="List Paragraph"/>
    <w:basedOn w:val="a"/>
    <w:uiPriority w:val="99"/>
    <w:qFormat/>
    <w:rsid w:val="00AD6A6C"/>
    <w:pPr>
      <w:ind w:left="720"/>
      <w:contextualSpacing/>
    </w:pPr>
  </w:style>
  <w:style w:type="character" w:customStyle="1" w:styleId="apple-converted-space">
    <w:name w:val="apple-converted-space"/>
    <w:uiPriority w:val="99"/>
    <w:rsid w:val="00AD6A6C"/>
    <w:rPr>
      <w:rFonts w:cs="Times New Roman"/>
    </w:rPr>
  </w:style>
  <w:style w:type="character" w:styleId="a4">
    <w:name w:val="Hyperlink"/>
    <w:uiPriority w:val="99"/>
    <w:semiHidden/>
    <w:rsid w:val="00AD6A6C"/>
    <w:rPr>
      <w:rFonts w:cs="Times New Roman"/>
      <w:color w:val="0000FF"/>
      <w:u w:val="single"/>
    </w:rPr>
  </w:style>
  <w:style w:type="character" w:styleId="a5">
    <w:name w:val="Placeholder Text"/>
    <w:uiPriority w:val="99"/>
    <w:semiHidden/>
    <w:rsid w:val="00AD6A6C"/>
    <w:rPr>
      <w:rFonts w:cs="Times New Roman"/>
      <w:color w:val="808080"/>
    </w:rPr>
  </w:style>
  <w:style w:type="paragraph" w:styleId="a6">
    <w:name w:val="Balloon Text"/>
    <w:basedOn w:val="a"/>
    <w:link w:val="a7"/>
    <w:uiPriority w:val="99"/>
    <w:semiHidden/>
    <w:rsid w:val="00AD6A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6A6C"/>
    <w:rPr>
      <w:rFonts w:ascii="Tahoma" w:eastAsia="Calibri" w:hAnsi="Tahoma" w:cs="Tahoma"/>
      <w:sz w:val="16"/>
      <w:szCs w:val="16"/>
    </w:rPr>
  </w:style>
  <w:style w:type="paragraph" w:styleId="a8">
    <w:name w:val="header"/>
    <w:basedOn w:val="a"/>
    <w:link w:val="a9"/>
    <w:uiPriority w:val="99"/>
    <w:semiHidden/>
    <w:rsid w:val="00AD6A6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D6A6C"/>
    <w:rPr>
      <w:rFonts w:ascii="Calibri" w:eastAsia="Calibri" w:hAnsi="Calibri" w:cs="Times New Roman"/>
    </w:rPr>
  </w:style>
  <w:style w:type="paragraph" w:styleId="aa">
    <w:name w:val="footer"/>
    <w:basedOn w:val="a"/>
    <w:link w:val="ab"/>
    <w:uiPriority w:val="99"/>
    <w:rsid w:val="00AD6A6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D6A6C"/>
    <w:rPr>
      <w:rFonts w:ascii="Calibri" w:eastAsia="Calibri" w:hAnsi="Calibri" w:cs="Times New Roman"/>
    </w:rPr>
  </w:style>
  <w:style w:type="table" w:styleId="ac">
    <w:name w:val="Table Grid"/>
    <w:basedOn w:val="a1"/>
    <w:uiPriority w:val="99"/>
    <w:rsid w:val="00AD6A6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ody Text Indent"/>
    <w:basedOn w:val="a"/>
    <w:link w:val="ae"/>
    <w:uiPriority w:val="99"/>
    <w:rsid w:val="00AD6A6C"/>
    <w:pPr>
      <w:spacing w:after="0" w:line="360" w:lineRule="auto"/>
      <w:ind w:firstLine="709"/>
      <w:jc w:val="both"/>
    </w:pPr>
    <w:rPr>
      <w:rFonts w:ascii="Times New Roman" w:eastAsia="Times New Roman" w:hAnsi="Times New Roman"/>
      <w:sz w:val="28"/>
      <w:szCs w:val="20"/>
      <w:lang w:val="uk-UA" w:eastAsia="ru-RU"/>
    </w:rPr>
  </w:style>
  <w:style w:type="character" w:customStyle="1" w:styleId="ae">
    <w:name w:val="Основной текст с отступом Знак"/>
    <w:basedOn w:val="a0"/>
    <w:link w:val="ad"/>
    <w:uiPriority w:val="99"/>
    <w:rsid w:val="00AD6A6C"/>
    <w:rPr>
      <w:rFonts w:ascii="Times New Roman" w:eastAsia="Times New Roman" w:hAnsi="Times New Roman" w:cs="Times New Roman"/>
      <w:sz w:val="28"/>
      <w:szCs w:val="20"/>
      <w:lang w:val="uk-UA" w:eastAsia="ru-RU"/>
    </w:rPr>
  </w:style>
  <w:style w:type="character" w:styleId="af">
    <w:name w:val="Strong"/>
    <w:uiPriority w:val="99"/>
    <w:qFormat/>
    <w:rsid w:val="00AD6A6C"/>
    <w:rPr>
      <w:rFonts w:cs="Times New Roman"/>
      <w:b/>
      <w:bCs/>
    </w:rPr>
  </w:style>
  <w:style w:type="character" w:customStyle="1" w:styleId="st">
    <w:name w:val="st"/>
    <w:uiPriority w:val="99"/>
    <w:rsid w:val="00AD6A6C"/>
    <w:rPr>
      <w:rFonts w:cs="Times New Roman"/>
    </w:rPr>
  </w:style>
  <w:style w:type="paragraph" w:styleId="af0">
    <w:name w:val="Normal (Web)"/>
    <w:basedOn w:val="a"/>
    <w:link w:val="af1"/>
    <w:uiPriority w:val="99"/>
    <w:rsid w:val="00AD6A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1">
    <w:name w:val="Обычный (веб) Знак"/>
    <w:link w:val="af0"/>
    <w:uiPriority w:val="99"/>
    <w:locked/>
    <w:rsid w:val="00AD6A6C"/>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AD6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AD6A6C"/>
    <w:rPr>
      <w:rFonts w:ascii="Courier New" w:eastAsia="Calibri" w:hAnsi="Courier New" w:cs="Courier New"/>
      <w:sz w:val="20"/>
      <w:szCs w:val="20"/>
      <w:lang w:eastAsia="ru-RU"/>
    </w:rPr>
  </w:style>
  <w:style w:type="character" w:customStyle="1" w:styleId="shorttext1">
    <w:name w:val="short_text1"/>
    <w:uiPriority w:val="99"/>
    <w:rsid w:val="00AD6A6C"/>
    <w:rPr>
      <w:sz w:val="29"/>
    </w:rPr>
  </w:style>
  <w:style w:type="character" w:customStyle="1" w:styleId="textcopy">
    <w:name w:val="textcopy"/>
    <w:uiPriority w:val="99"/>
    <w:rsid w:val="00AD6A6C"/>
    <w:rPr>
      <w:rFonts w:cs="Times New Roman"/>
    </w:rPr>
  </w:style>
  <w:style w:type="character" w:customStyle="1" w:styleId="variant1">
    <w:name w:val="variant1"/>
    <w:uiPriority w:val="99"/>
    <w:rsid w:val="00AD6A6C"/>
    <w:rPr>
      <w:color w:val="0000FF"/>
    </w:rPr>
  </w:style>
  <w:style w:type="character" w:customStyle="1" w:styleId="hps">
    <w:name w:val="hps"/>
    <w:uiPriority w:val="99"/>
    <w:rsid w:val="00AD6A6C"/>
    <w:rPr>
      <w:rFonts w:cs="Times New Roman"/>
    </w:rPr>
  </w:style>
  <w:style w:type="paragraph" w:customStyle="1" w:styleId="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D6A6C"/>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A6C"/>
    <w:pPr>
      <w:spacing w:after="200" w:line="276" w:lineRule="auto"/>
    </w:pPr>
    <w:rPr>
      <w:rFonts w:ascii="Calibri" w:eastAsia="Calibri" w:hAnsi="Calibri" w:cs="Times New Roman"/>
    </w:rPr>
  </w:style>
  <w:style w:type="paragraph" w:styleId="4">
    <w:name w:val="heading 4"/>
    <w:basedOn w:val="a"/>
    <w:link w:val="40"/>
    <w:uiPriority w:val="99"/>
    <w:qFormat/>
    <w:rsid w:val="00AD6A6C"/>
    <w:pPr>
      <w:spacing w:before="100" w:beforeAutospacing="1" w:after="100" w:afterAutospacing="1" w:line="240" w:lineRule="auto"/>
      <w:outlineLvl w:val="3"/>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AD6A6C"/>
    <w:rPr>
      <w:rFonts w:ascii="Times New Roman" w:eastAsia="Calibri" w:hAnsi="Times New Roman" w:cs="Times New Roman"/>
      <w:b/>
      <w:bCs/>
      <w:sz w:val="24"/>
      <w:szCs w:val="24"/>
      <w:lang w:eastAsia="ru-RU"/>
    </w:rPr>
  </w:style>
  <w:style w:type="paragraph" w:styleId="a3">
    <w:name w:val="List Paragraph"/>
    <w:basedOn w:val="a"/>
    <w:uiPriority w:val="99"/>
    <w:qFormat/>
    <w:rsid w:val="00AD6A6C"/>
    <w:pPr>
      <w:ind w:left="720"/>
      <w:contextualSpacing/>
    </w:pPr>
  </w:style>
  <w:style w:type="character" w:customStyle="1" w:styleId="apple-converted-space">
    <w:name w:val="apple-converted-space"/>
    <w:uiPriority w:val="99"/>
    <w:rsid w:val="00AD6A6C"/>
    <w:rPr>
      <w:rFonts w:cs="Times New Roman"/>
    </w:rPr>
  </w:style>
  <w:style w:type="character" w:styleId="a4">
    <w:name w:val="Hyperlink"/>
    <w:uiPriority w:val="99"/>
    <w:semiHidden/>
    <w:rsid w:val="00AD6A6C"/>
    <w:rPr>
      <w:rFonts w:cs="Times New Roman"/>
      <w:color w:val="0000FF"/>
      <w:u w:val="single"/>
    </w:rPr>
  </w:style>
  <w:style w:type="character" w:styleId="a5">
    <w:name w:val="Placeholder Text"/>
    <w:uiPriority w:val="99"/>
    <w:semiHidden/>
    <w:rsid w:val="00AD6A6C"/>
    <w:rPr>
      <w:rFonts w:cs="Times New Roman"/>
      <w:color w:val="808080"/>
    </w:rPr>
  </w:style>
  <w:style w:type="paragraph" w:styleId="a6">
    <w:name w:val="Balloon Text"/>
    <w:basedOn w:val="a"/>
    <w:link w:val="a7"/>
    <w:uiPriority w:val="99"/>
    <w:semiHidden/>
    <w:rsid w:val="00AD6A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6A6C"/>
    <w:rPr>
      <w:rFonts w:ascii="Tahoma" w:eastAsia="Calibri" w:hAnsi="Tahoma" w:cs="Tahoma"/>
      <w:sz w:val="16"/>
      <w:szCs w:val="16"/>
    </w:rPr>
  </w:style>
  <w:style w:type="paragraph" w:styleId="a8">
    <w:name w:val="header"/>
    <w:basedOn w:val="a"/>
    <w:link w:val="a9"/>
    <w:uiPriority w:val="99"/>
    <w:semiHidden/>
    <w:rsid w:val="00AD6A6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D6A6C"/>
    <w:rPr>
      <w:rFonts w:ascii="Calibri" w:eastAsia="Calibri" w:hAnsi="Calibri" w:cs="Times New Roman"/>
    </w:rPr>
  </w:style>
  <w:style w:type="paragraph" w:styleId="aa">
    <w:name w:val="footer"/>
    <w:basedOn w:val="a"/>
    <w:link w:val="ab"/>
    <w:uiPriority w:val="99"/>
    <w:rsid w:val="00AD6A6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D6A6C"/>
    <w:rPr>
      <w:rFonts w:ascii="Calibri" w:eastAsia="Calibri" w:hAnsi="Calibri" w:cs="Times New Roman"/>
    </w:rPr>
  </w:style>
  <w:style w:type="table" w:styleId="ac">
    <w:name w:val="Table Grid"/>
    <w:basedOn w:val="a1"/>
    <w:uiPriority w:val="99"/>
    <w:rsid w:val="00AD6A6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ody Text Indent"/>
    <w:basedOn w:val="a"/>
    <w:link w:val="ae"/>
    <w:uiPriority w:val="99"/>
    <w:rsid w:val="00AD6A6C"/>
    <w:pPr>
      <w:spacing w:after="0" w:line="360" w:lineRule="auto"/>
      <w:ind w:firstLine="709"/>
      <w:jc w:val="both"/>
    </w:pPr>
    <w:rPr>
      <w:rFonts w:ascii="Times New Roman" w:eastAsia="Times New Roman" w:hAnsi="Times New Roman"/>
      <w:sz w:val="28"/>
      <w:szCs w:val="20"/>
      <w:lang w:val="uk-UA" w:eastAsia="ru-RU"/>
    </w:rPr>
  </w:style>
  <w:style w:type="character" w:customStyle="1" w:styleId="ae">
    <w:name w:val="Основной текст с отступом Знак"/>
    <w:basedOn w:val="a0"/>
    <w:link w:val="ad"/>
    <w:uiPriority w:val="99"/>
    <w:rsid w:val="00AD6A6C"/>
    <w:rPr>
      <w:rFonts w:ascii="Times New Roman" w:eastAsia="Times New Roman" w:hAnsi="Times New Roman" w:cs="Times New Roman"/>
      <w:sz w:val="28"/>
      <w:szCs w:val="20"/>
      <w:lang w:val="uk-UA" w:eastAsia="ru-RU"/>
    </w:rPr>
  </w:style>
  <w:style w:type="character" w:styleId="af">
    <w:name w:val="Strong"/>
    <w:uiPriority w:val="99"/>
    <w:qFormat/>
    <w:rsid w:val="00AD6A6C"/>
    <w:rPr>
      <w:rFonts w:cs="Times New Roman"/>
      <w:b/>
      <w:bCs/>
    </w:rPr>
  </w:style>
  <w:style w:type="character" w:customStyle="1" w:styleId="st">
    <w:name w:val="st"/>
    <w:uiPriority w:val="99"/>
    <w:rsid w:val="00AD6A6C"/>
    <w:rPr>
      <w:rFonts w:cs="Times New Roman"/>
    </w:rPr>
  </w:style>
  <w:style w:type="paragraph" w:styleId="af0">
    <w:name w:val="Normal (Web)"/>
    <w:basedOn w:val="a"/>
    <w:link w:val="af1"/>
    <w:uiPriority w:val="99"/>
    <w:rsid w:val="00AD6A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1">
    <w:name w:val="Обычный (веб) Знак"/>
    <w:link w:val="af0"/>
    <w:uiPriority w:val="99"/>
    <w:locked/>
    <w:rsid w:val="00AD6A6C"/>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AD6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AD6A6C"/>
    <w:rPr>
      <w:rFonts w:ascii="Courier New" w:eastAsia="Calibri" w:hAnsi="Courier New" w:cs="Courier New"/>
      <w:sz w:val="20"/>
      <w:szCs w:val="20"/>
      <w:lang w:eastAsia="ru-RU"/>
    </w:rPr>
  </w:style>
  <w:style w:type="character" w:customStyle="1" w:styleId="shorttext1">
    <w:name w:val="short_text1"/>
    <w:uiPriority w:val="99"/>
    <w:rsid w:val="00AD6A6C"/>
    <w:rPr>
      <w:sz w:val="29"/>
    </w:rPr>
  </w:style>
  <w:style w:type="character" w:customStyle="1" w:styleId="textcopy">
    <w:name w:val="textcopy"/>
    <w:uiPriority w:val="99"/>
    <w:rsid w:val="00AD6A6C"/>
    <w:rPr>
      <w:rFonts w:cs="Times New Roman"/>
    </w:rPr>
  </w:style>
  <w:style w:type="character" w:customStyle="1" w:styleId="variant1">
    <w:name w:val="variant1"/>
    <w:uiPriority w:val="99"/>
    <w:rsid w:val="00AD6A6C"/>
    <w:rPr>
      <w:color w:val="0000FF"/>
    </w:rPr>
  </w:style>
  <w:style w:type="character" w:customStyle="1" w:styleId="hps">
    <w:name w:val="hps"/>
    <w:uiPriority w:val="99"/>
    <w:rsid w:val="00AD6A6C"/>
    <w:rPr>
      <w:rFonts w:cs="Times New Roman"/>
    </w:rPr>
  </w:style>
  <w:style w:type="paragraph" w:customStyle="1" w:styleId="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D6A6C"/>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692939244663636E-2"/>
          <c:y val="5.5299539170506916E-2"/>
          <c:w val="0.94088669950738912"/>
          <c:h val="0.8018433179723502"/>
        </c:manualLayout>
      </c:layout>
      <c:barChart>
        <c:barDir val="col"/>
        <c:grouping val="clustered"/>
        <c:varyColors val="0"/>
        <c:ser>
          <c:idx val="0"/>
          <c:order val="0"/>
          <c:tx>
            <c:strRef>
              <c:f>Sheet1!$A$2</c:f>
              <c:strCache>
                <c:ptCount val="1"/>
                <c:pt idx="0">
                  <c:v>Восток</c:v>
                </c:pt>
              </c:strCache>
            </c:strRef>
          </c:tx>
          <c:spPr>
            <a:solidFill>
              <a:schemeClr val="bg1">
                <a:lumMod val="85000"/>
              </a:schemeClr>
            </a:solidFill>
            <a:ln w="11169">
              <a:solidFill>
                <a:srgbClr val="000000"/>
              </a:solidFill>
              <a:prstDash val="solid"/>
            </a:ln>
          </c:spPr>
          <c:invertIfNegative val="0"/>
          <c:cat>
            <c:strRef>
              <c:f>Sheet1!$B$1:$P$1</c:f>
              <c:strCache>
                <c:ptCount val="15"/>
                <c:pt idx="0">
                  <c:v>Херсонська</c:v>
                </c:pt>
                <c:pt idx="1">
                  <c:v>Київська</c:v>
                </c:pt>
                <c:pt idx="2">
                  <c:v>Миколаївська</c:v>
                </c:pt>
                <c:pt idx="3">
                  <c:v>Черкаська</c:v>
                </c:pt>
                <c:pt idx="4">
                  <c:v>Дніпропетровська</c:v>
                </c:pt>
                <c:pt idx="5">
                  <c:v>Вінницька </c:v>
                </c:pt>
                <c:pt idx="6">
                  <c:v>Львівська</c:v>
                </c:pt>
                <c:pt idx="7">
                  <c:v>Рівненська</c:v>
                </c:pt>
                <c:pt idx="8">
                  <c:v>Одеська</c:v>
                </c:pt>
                <c:pt idx="9">
                  <c:v>Сумська</c:v>
                </c:pt>
                <c:pt idx="10">
                  <c:v>Харківська</c:v>
                </c:pt>
                <c:pt idx="11">
                  <c:v>Івано-Франківська</c:v>
                </c:pt>
                <c:pt idx="12">
                  <c:v>Донецька</c:v>
                </c:pt>
                <c:pt idx="13">
                  <c:v>Полтавська</c:v>
                </c:pt>
                <c:pt idx="14">
                  <c:v>Тернопільська</c:v>
                </c:pt>
              </c:strCache>
            </c:strRef>
          </c:cat>
          <c:val>
            <c:numRef>
              <c:f>Sheet1!$B$2:$P$2</c:f>
              <c:numCache>
                <c:formatCode>General</c:formatCode>
                <c:ptCount val="15"/>
                <c:pt idx="0">
                  <c:v>30.650000000000006</c:v>
                </c:pt>
                <c:pt idx="1">
                  <c:v>49.68</c:v>
                </c:pt>
                <c:pt idx="2">
                  <c:v>67.63</c:v>
                </c:pt>
                <c:pt idx="3">
                  <c:v>82.410000000000025</c:v>
                </c:pt>
                <c:pt idx="4">
                  <c:v>86.13</c:v>
                </c:pt>
                <c:pt idx="5">
                  <c:v>88.97</c:v>
                </c:pt>
                <c:pt idx="6">
                  <c:v>91.28</c:v>
                </c:pt>
                <c:pt idx="7">
                  <c:v>93.25</c:v>
                </c:pt>
                <c:pt idx="8">
                  <c:v>95</c:v>
                </c:pt>
                <c:pt idx="9">
                  <c:v>96.22</c:v>
                </c:pt>
                <c:pt idx="10">
                  <c:v>97.38</c:v>
                </c:pt>
                <c:pt idx="11">
                  <c:v>98.42</c:v>
                </c:pt>
                <c:pt idx="12">
                  <c:v>99.28</c:v>
                </c:pt>
                <c:pt idx="13">
                  <c:v>99.53</c:v>
                </c:pt>
                <c:pt idx="14">
                  <c:v>99.669999999999987</c:v>
                </c:pt>
              </c:numCache>
            </c:numRef>
          </c:val>
        </c:ser>
        <c:dLbls>
          <c:showLegendKey val="0"/>
          <c:showVal val="0"/>
          <c:showCatName val="0"/>
          <c:showSerName val="0"/>
          <c:showPercent val="0"/>
          <c:showBubbleSize val="0"/>
        </c:dLbls>
        <c:gapWidth val="114"/>
        <c:overlap val="2"/>
        <c:axId val="71527808"/>
        <c:axId val="110435712"/>
      </c:barChart>
      <c:catAx>
        <c:axId val="71527808"/>
        <c:scaling>
          <c:orientation val="minMax"/>
        </c:scaling>
        <c:delete val="0"/>
        <c:axPos val="b"/>
        <c:numFmt formatCode="General" sourceLinked="1"/>
        <c:majorTickMark val="out"/>
        <c:minorTickMark val="none"/>
        <c:tickLblPos val="low"/>
        <c:spPr>
          <a:ln w="2792">
            <a:solidFill>
              <a:srgbClr val="000000"/>
            </a:solidFill>
            <a:prstDash val="solid"/>
          </a:ln>
        </c:spPr>
        <c:txPr>
          <a:bodyPr rot="-5400000" vert="horz"/>
          <a:lstStyle/>
          <a:p>
            <a:pPr>
              <a:defRPr/>
            </a:pPr>
            <a:endParaRPr lang="ru-RU"/>
          </a:p>
        </c:txPr>
        <c:crossAx val="110435712"/>
        <c:crosses val="autoZero"/>
        <c:auto val="1"/>
        <c:lblAlgn val="ctr"/>
        <c:lblOffset val="100"/>
        <c:tickLblSkip val="1"/>
        <c:tickMarkSkip val="1"/>
        <c:noMultiLvlLbl val="0"/>
      </c:catAx>
      <c:valAx>
        <c:axId val="110435712"/>
        <c:scaling>
          <c:orientation val="minMax"/>
        </c:scaling>
        <c:delete val="0"/>
        <c:axPos val="l"/>
        <c:majorGridlines>
          <c:spPr>
            <a:ln w="2792">
              <a:solidFill>
                <a:srgbClr val="000000"/>
              </a:solidFill>
              <a:prstDash val="solid"/>
            </a:ln>
          </c:spPr>
        </c:majorGridlines>
        <c:numFmt formatCode="General" sourceLinked="1"/>
        <c:majorTickMark val="out"/>
        <c:minorTickMark val="none"/>
        <c:tickLblPos val="nextTo"/>
        <c:spPr>
          <a:ln w="2792">
            <a:solidFill>
              <a:srgbClr val="000000"/>
            </a:solidFill>
            <a:prstDash val="solid"/>
          </a:ln>
        </c:spPr>
        <c:txPr>
          <a:bodyPr rot="0" vert="horz"/>
          <a:lstStyle/>
          <a:p>
            <a:pPr>
              <a:defRPr/>
            </a:pPr>
            <a:endParaRPr lang="ru-RU"/>
          </a:p>
        </c:txPr>
        <c:crossAx val="71527808"/>
        <c:crosses val="autoZero"/>
        <c:crossBetween val="between"/>
      </c:valAx>
      <c:spPr>
        <a:noFill/>
        <a:ln w="11172">
          <a:solidFill>
            <a:srgbClr val="808080"/>
          </a:solidFill>
          <a:prstDash val="solid"/>
        </a:ln>
      </c:spPr>
    </c:plotArea>
    <c:plotVisOnly val="1"/>
    <c:dispBlanksAs val="gap"/>
    <c:showDLblsOverMax val="0"/>
  </c:chart>
  <c:spPr>
    <a:noFill/>
    <a:ln>
      <a:noFill/>
    </a:ln>
  </c:spPr>
  <c:txPr>
    <a:bodyPr/>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6655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dcterms:created xsi:type="dcterms:W3CDTF">2024-10-10T05:13:00Z</dcterms:created>
  <dcterms:modified xsi:type="dcterms:W3CDTF">2024-10-10T05:13:00Z</dcterms:modified>
</cp:coreProperties>
</file>