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3B" w:rsidRDefault="00AA123B" w:rsidP="00AA123B">
      <w:pPr>
        <w:spacing w:after="120"/>
        <w:ind w:firstLine="709"/>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Діафізарні переломи плечової кістки</w:t>
      </w:r>
    </w:p>
    <w:p w:rsidR="00AA123B" w:rsidRPr="003F3EE4" w:rsidRDefault="00AA123B" w:rsidP="00AA123B">
      <w:pPr>
        <w:spacing w:after="120"/>
        <w:ind w:firstLine="709"/>
        <w:rPr>
          <w:rFonts w:ascii="Times New Roman" w:hAnsi="Times New Roman" w:cs="Times New Roman"/>
          <w:b/>
          <w:bCs/>
          <w:sz w:val="28"/>
          <w:szCs w:val="28"/>
          <w:lang w:val="uk-UA"/>
        </w:rPr>
      </w:pPr>
    </w:p>
    <w:p w:rsidR="00AA123B" w:rsidRPr="003F3EE4" w:rsidRDefault="00AA123B" w:rsidP="00AA123B">
      <w:pPr>
        <w:spacing w:after="0" w:line="276" w:lineRule="auto"/>
        <w:ind w:firstLine="720"/>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Переломи діафізу плечової кістки</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Переломи діафізу становлять 19,8% від усіх переломів плечової кістки. </w:t>
      </w:r>
    </w:p>
    <w:p w:rsidR="00AA123B" w:rsidRPr="00076241" w:rsidRDefault="00AA123B" w:rsidP="00AA123B">
      <w:pPr>
        <w:spacing w:after="0" w:line="276" w:lineRule="auto"/>
        <w:ind w:firstLine="720"/>
        <w:jc w:val="both"/>
        <w:rPr>
          <w:rFonts w:ascii="Times New Roman" w:hAnsi="Times New Roman" w:cs="Times New Roman"/>
          <w:spacing w:val="-4"/>
          <w:sz w:val="28"/>
          <w:szCs w:val="28"/>
          <w:lang w:val="uk-UA"/>
        </w:rPr>
      </w:pPr>
      <w:r w:rsidRPr="00076241">
        <w:rPr>
          <w:rFonts w:ascii="Times New Roman" w:hAnsi="Times New Roman" w:cs="Times New Roman"/>
          <w:i/>
          <w:spacing w:val="-4"/>
          <w:sz w:val="28"/>
          <w:szCs w:val="28"/>
          <w:lang w:val="uk-UA"/>
        </w:rPr>
        <w:t>Механізм травми.</w:t>
      </w:r>
      <w:r w:rsidRPr="00076241">
        <w:rPr>
          <w:rFonts w:ascii="Times New Roman" w:hAnsi="Times New Roman" w:cs="Times New Roman"/>
          <w:spacing w:val="-4"/>
          <w:sz w:val="28"/>
          <w:szCs w:val="28"/>
          <w:lang w:val="uk-UA"/>
        </w:rPr>
        <w:t xml:space="preserve"> Найчастіше  виникають при прямому механізмі травми (поперечні, осколкові переломи): внаслідок ДТП, удару чи вогнепального поранення. Рідше спостерігається непрямий механізм травми (косі, гвинтоподібні переломи): при падінні на лікоть, кисть випрямленої руки. Інколи при надмірному м’язовому скороченні ушкоджується діафіз через анатомо-біомеханічні особливості, що може бути у спорті при метанні диска, списа, гранати.</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За локалізацією дiафiзарні переломи розподіляться на переломи верхньої, середньої та нижньої третини. Залежно від рівня перелому в результаті дії м’язів виникають типові зміщення відламків.</w:t>
      </w:r>
    </w:p>
    <w:p w:rsidR="00AA123B" w:rsidRPr="003F3EE4" w:rsidRDefault="00AA123B" w:rsidP="00AA123B">
      <w:pPr>
        <w:spacing w:before="120" w:after="120" w:line="276" w:lineRule="auto"/>
        <w:ind w:firstLine="720"/>
        <w:jc w:val="center"/>
        <w:rPr>
          <w:rFonts w:ascii="Times New Roman" w:hAnsi="Times New Roman" w:cs="Times New Roman"/>
          <w:sz w:val="28"/>
          <w:szCs w:val="28"/>
          <w:lang w:val="uk-UA"/>
        </w:rPr>
      </w:pPr>
      <w:r w:rsidRPr="003F3EE4">
        <w:rPr>
          <w:noProof/>
          <w:lang w:eastAsia="ru-RU"/>
        </w:rPr>
        <w:drawing>
          <wp:inline distT="0" distB="0" distL="0" distR="0" wp14:anchorId="0562684A" wp14:editId="2B4788D8">
            <wp:extent cx="2873205" cy="1695450"/>
            <wp:effectExtent l="0" t="0" r="3810" b="0"/>
            <wp:docPr id="131" name="Рисунок 131" descr="Перелом діафіза плечової кістки в середній третині - Травматологія та  ортопедія - Підручники для вузів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елом діафіза плечової кістки в середній третині - Травматологія та  ортопедія - Підручники для вузів онлай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3681" cy="1695731"/>
                    </a:xfrm>
                    <a:prstGeom prst="rect">
                      <a:avLst/>
                    </a:prstGeom>
                    <a:noFill/>
                    <a:ln>
                      <a:noFill/>
                    </a:ln>
                  </pic:spPr>
                </pic:pic>
              </a:graphicData>
            </a:graphic>
          </wp:inline>
        </w:drawing>
      </w:r>
    </w:p>
    <w:p w:rsidR="00AA123B" w:rsidRPr="003F3EE4" w:rsidRDefault="00AA123B" w:rsidP="00AA123B">
      <w:pPr>
        <w:spacing w:after="0" w:line="276" w:lineRule="auto"/>
        <w:jc w:val="center"/>
        <w:rPr>
          <w:rFonts w:ascii="Times New Roman" w:hAnsi="Times New Roman" w:cs="Times New Roman"/>
          <w:color w:val="222222"/>
          <w:sz w:val="28"/>
          <w:szCs w:val="28"/>
          <w:lang w:val="uk-UA"/>
        </w:rPr>
      </w:pPr>
      <w:r w:rsidRPr="003F3EE4">
        <w:rPr>
          <w:rFonts w:ascii="Times New Roman" w:hAnsi="Times New Roman" w:cs="Times New Roman"/>
          <w:sz w:val="28"/>
          <w:szCs w:val="28"/>
          <w:lang w:val="uk-UA"/>
        </w:rPr>
        <w:t xml:space="preserve">Рисунок  – </w:t>
      </w:r>
      <w:r w:rsidRPr="003F3EE4">
        <w:rPr>
          <w:rFonts w:ascii="Times New Roman" w:hAnsi="Times New Roman" w:cs="Times New Roman"/>
          <w:color w:val="222222"/>
          <w:sz w:val="28"/>
          <w:szCs w:val="28"/>
          <w:lang w:val="uk-UA"/>
        </w:rPr>
        <w:t xml:space="preserve">Перелом плечової кістки в середній третині: </w:t>
      </w:r>
    </w:p>
    <w:p w:rsidR="00AA123B" w:rsidRPr="003F3EE4" w:rsidRDefault="00AA123B" w:rsidP="00AA123B">
      <w:pPr>
        <w:spacing w:after="0" w:line="276" w:lineRule="auto"/>
        <w:jc w:val="center"/>
        <w:rPr>
          <w:rFonts w:ascii="Times New Roman" w:hAnsi="Times New Roman" w:cs="Times New Roman"/>
          <w:sz w:val="28"/>
          <w:szCs w:val="28"/>
          <w:lang w:val="uk-UA"/>
        </w:rPr>
      </w:pPr>
      <w:r w:rsidRPr="003F3EE4">
        <w:rPr>
          <w:rFonts w:ascii="Times New Roman" w:hAnsi="Times New Roman" w:cs="Times New Roman"/>
          <w:color w:val="222222"/>
          <w:sz w:val="28"/>
          <w:szCs w:val="28"/>
          <w:lang w:val="uk-UA"/>
        </w:rPr>
        <w:t>А – поперечний; Б – косий; В – гвинтоподібний</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Тяга великої кількості м’язів (дельтоподібного, надостного, великого грудного, двоголового, триголового), що прикріплюються в різних точках, призводить до значного зміщення кісткових уламків, напрямок яких залежить від рівня перелому. Якщо лінія перелому проходить вище прикріплення дельтоподібного та великого грудного м’язів, то центральний кістковий уламок приводиться, ротується досередини і зміщується догори. При цьому можливе здавлювання або пошкодження судинно-нервового пучка гострими кінцями дистального уламка. Якщо лінія перелому знаходиться нижче від прикріплення великого грудного м’яза, але вище від прикріплення дельтоподібного м’яза, то центральний уламок під дією великого грудного м’яза і найширшого м’яза спини зміщується назад і всередину, а дистальний уламок під дією дельтоподібного, дзьобоподібного і триголового зміщується догори, назовні та частково вперед. При переломі </w:t>
      </w:r>
      <w:r w:rsidRPr="003F3EE4">
        <w:rPr>
          <w:rFonts w:ascii="Times New Roman" w:hAnsi="Times New Roman" w:cs="Times New Roman"/>
          <w:sz w:val="28"/>
          <w:szCs w:val="28"/>
          <w:lang w:val="uk-UA"/>
        </w:rPr>
        <w:lastRenderedPageBreak/>
        <w:t>плечової кістки нижче від місця прикріплення дельтоподібного м’яза центральний уламок під дією цього м’яза відводиться і зміщується латерально і догори, а дистальний під дією двоголового, триголового і дзьобоподібного м’язів – догори та</w:t>
      </w:r>
      <w:r>
        <w:rPr>
          <w:rFonts w:ascii="Times New Roman" w:hAnsi="Times New Roman" w:cs="Times New Roman"/>
          <w:sz w:val="28"/>
          <w:szCs w:val="28"/>
          <w:lang w:val="uk-UA"/>
        </w:rPr>
        <w:t xml:space="preserve"> частково назад</w:t>
      </w:r>
      <w:r w:rsidRPr="003F3EE4">
        <w:rPr>
          <w:rFonts w:ascii="Times New Roman" w:hAnsi="Times New Roman" w:cs="Times New Roman"/>
          <w:sz w:val="28"/>
          <w:szCs w:val="28"/>
          <w:lang w:val="uk-UA"/>
        </w:rPr>
        <w:t>.</w:t>
      </w:r>
    </w:p>
    <w:p w:rsidR="00AA123B" w:rsidRPr="003F3EE4" w:rsidRDefault="00AA123B" w:rsidP="00AA123B">
      <w:pPr>
        <w:spacing w:after="0" w:line="276" w:lineRule="auto"/>
        <w:ind w:firstLine="720"/>
        <w:jc w:val="center"/>
        <w:rPr>
          <w:rFonts w:ascii="Times New Roman" w:hAnsi="Times New Roman" w:cs="Times New Roman"/>
          <w:sz w:val="28"/>
          <w:szCs w:val="28"/>
          <w:lang w:val="uk-UA"/>
        </w:rPr>
      </w:pPr>
      <w:r w:rsidRPr="003F3EE4">
        <w:rPr>
          <w:noProof/>
          <w:lang w:eastAsia="ru-RU"/>
        </w:rPr>
        <w:drawing>
          <wp:inline distT="0" distB="0" distL="0" distR="0" wp14:anchorId="72599584" wp14:editId="71C9DAFE">
            <wp:extent cx="2886075" cy="1504950"/>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26455" t="29658" r="24961" b="25286"/>
                    <a:stretch/>
                  </pic:blipFill>
                  <pic:spPr bwMode="auto">
                    <a:xfrm>
                      <a:off x="0" y="0"/>
                      <a:ext cx="2886075" cy="1504950"/>
                    </a:xfrm>
                    <a:prstGeom prst="rect">
                      <a:avLst/>
                    </a:prstGeom>
                    <a:ln>
                      <a:noFill/>
                    </a:ln>
                    <a:extLst>
                      <a:ext uri="{53640926-AAD7-44D8-BBD7-CCE9431645EC}">
                        <a14:shadowObscured xmlns:a14="http://schemas.microsoft.com/office/drawing/2010/main"/>
                      </a:ext>
                    </a:extLst>
                  </pic:spPr>
                </pic:pic>
              </a:graphicData>
            </a:graphic>
          </wp:inline>
        </w:drawing>
      </w:r>
    </w:p>
    <w:p w:rsidR="00AA123B" w:rsidRPr="003F3EE4" w:rsidRDefault="00AA123B" w:rsidP="00AA123B">
      <w:pPr>
        <w:spacing w:after="0" w:line="276" w:lineRule="auto"/>
        <w:jc w:val="center"/>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Рисунок 4.24 – Зміщення уламків плечової кістки при переломах діафізу на різних рівнях під впливом тяги м’язів </w:t>
      </w:r>
    </w:p>
    <w:p w:rsidR="00AA123B" w:rsidRPr="003F3EE4" w:rsidRDefault="00AA123B" w:rsidP="00AA123B">
      <w:pPr>
        <w:jc w:val="center"/>
        <w:rPr>
          <w:rFonts w:ascii="Times New Roman" w:hAnsi="Times New Roman" w:cs="Times New Roman"/>
          <w:sz w:val="28"/>
          <w:szCs w:val="28"/>
          <w:lang w:val="uk-UA"/>
        </w:rPr>
      </w:pPr>
    </w:p>
    <w:p w:rsidR="00AA123B" w:rsidRPr="003F3EE4" w:rsidRDefault="00AA123B" w:rsidP="00AA123B">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Класифікація.</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Відповідно до класифікації ОА/ASIF переломи діафізу плечової кістки поділяються на три групи:</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А – прості зі спіральною (А1), косою (А2) та поперечною (А3) лініями зламу;</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В – клиноподібні з  нефрагментованим (В1 і В2) </w:t>
      </w:r>
      <w:r>
        <w:rPr>
          <w:rFonts w:ascii="Times New Roman" w:hAnsi="Times New Roman" w:cs="Times New Roman"/>
          <w:sz w:val="28"/>
          <w:szCs w:val="28"/>
          <w:lang w:val="uk-UA"/>
        </w:rPr>
        <w:t>і</w:t>
      </w:r>
      <w:r w:rsidRPr="003F3EE4">
        <w:rPr>
          <w:rFonts w:ascii="Times New Roman" w:hAnsi="Times New Roman" w:cs="Times New Roman"/>
          <w:sz w:val="28"/>
          <w:szCs w:val="28"/>
          <w:lang w:val="uk-UA"/>
        </w:rPr>
        <w:t xml:space="preserve"> фрагментованим (В3) клином;</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С – складні з одним або декількома проміжними фрагментами.  </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Клінічні симптоми</w:t>
      </w:r>
      <w:r w:rsidRPr="003F3EE4">
        <w:rPr>
          <w:rFonts w:ascii="Times New Roman" w:hAnsi="Times New Roman" w:cs="Times New Roman"/>
          <w:sz w:val="28"/>
          <w:szCs w:val="28"/>
          <w:lang w:val="uk-UA"/>
        </w:rPr>
        <w:t>. Характерними симптомами є набряклість, деформація, патологічна рухливість, крепiтація, біль при осьовому навантаженні, вкорочення кінцівки. Необхідне обстеження на предмет цілісності судинно-нервового пучка.</w:t>
      </w:r>
    </w:p>
    <w:p w:rsidR="00AA123B" w:rsidRPr="003F3EE4" w:rsidRDefault="00AA123B" w:rsidP="00AA123B">
      <w:pPr>
        <w:spacing w:after="0" w:line="276" w:lineRule="auto"/>
        <w:ind w:firstLine="720"/>
        <w:jc w:val="both"/>
        <w:rPr>
          <w:rFonts w:ascii="Times New Roman" w:hAnsi="Times New Roman" w:cs="Times New Roman"/>
          <w:i/>
          <w:iCs/>
          <w:sz w:val="28"/>
          <w:szCs w:val="28"/>
          <w:lang w:val="uk-UA"/>
        </w:rPr>
      </w:pPr>
      <w:r w:rsidRPr="003F3EE4">
        <w:rPr>
          <w:rFonts w:ascii="Times New Roman" w:hAnsi="Times New Roman" w:cs="Times New Roman"/>
          <w:i/>
          <w:iCs/>
          <w:sz w:val="28"/>
          <w:szCs w:val="28"/>
          <w:lang w:val="uk-UA"/>
        </w:rPr>
        <w:t>Діагностика.</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Характер лінії зламу та зміщення уламків встановлюють при рентгенографії у двох проєкціях. При переломах плеча нерідко ушкоджуються судини й нерви. Переломи у середній або нижній третині часто супроводжуються ушкодженням променевого нерва, що проявляється звисанням кисті  – неможливість активного розгинання, відсутність активного розгинання та відведення І-го пальця, втрата чутливості тильної поверхні кисті та перших трьох пальців до дистальних фаланг. При огляді постраждалого також потрібно порівняти пульс на обох променевих артеріях, оскільки при даному виді переломів часто спостерігається пошкодження плечової артерії.</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t>Догоспітальна допомога.</w:t>
      </w:r>
      <w:r w:rsidRPr="003F3EE4">
        <w:rPr>
          <w:rFonts w:ascii="Times New Roman" w:hAnsi="Times New Roman" w:cs="Times New Roman"/>
          <w:sz w:val="28"/>
          <w:szCs w:val="28"/>
          <w:lang w:val="uk-UA"/>
        </w:rPr>
        <w:t xml:space="preserve"> Надання медичної допомоги на догоспітальному етапі включає в себе адекватну іммобілізацію кінцівки підручними засобами або спеціальними шинами.</w:t>
      </w:r>
    </w:p>
    <w:p w:rsidR="00AA123B" w:rsidRPr="003F3EE4" w:rsidRDefault="00AA123B" w:rsidP="00AA123B">
      <w:pPr>
        <w:spacing w:after="120"/>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lastRenderedPageBreak/>
        <w:t xml:space="preserve">Медичний менеджмент. </w:t>
      </w:r>
      <w:r w:rsidRPr="003F3EE4">
        <w:rPr>
          <w:rFonts w:ascii="Times New Roman" w:hAnsi="Times New Roman" w:cs="Times New Roman"/>
          <w:sz w:val="28"/>
          <w:szCs w:val="28"/>
          <w:lang w:val="uk-UA"/>
        </w:rPr>
        <w:t>Більшість переломів діафізу плечової кістки можна лікувати консервативно  – гіпсовою пов’язкою: у верхній третині (вище місця прикріплення дельтовидного м’яза) на відвідній шині (із зігнутим ліктьовим суглобом до 90° та відведенням плеча на 40-45 °); у середній та нижній третині – торакобрахіальною пов’язкою. Консолідація перелому настає через       8-10 тижнів. Оперативне лікування показане при інтерпозиції м’яких тканин, первинному та вторинному ушкодженні променевого нерва та судин, при множинних, багато</w:t>
      </w:r>
      <w:r>
        <w:rPr>
          <w:rFonts w:ascii="Times New Roman" w:hAnsi="Times New Roman" w:cs="Times New Roman"/>
          <w:sz w:val="28"/>
          <w:szCs w:val="28"/>
          <w:lang w:val="uk-UA"/>
        </w:rPr>
        <w:t>у</w:t>
      </w:r>
      <w:r w:rsidRPr="003F3EE4">
        <w:rPr>
          <w:rFonts w:ascii="Times New Roman" w:hAnsi="Times New Roman" w:cs="Times New Roman"/>
          <w:sz w:val="28"/>
          <w:szCs w:val="28"/>
          <w:lang w:val="uk-UA"/>
        </w:rPr>
        <w:t xml:space="preserve">ламкових і відкритих переломах. Для остеосинтезу застосовують пластини, інтрамедулярні блокувальні стержні, </w:t>
      </w:r>
      <w:r>
        <w:rPr>
          <w:rFonts w:ascii="Times New Roman" w:hAnsi="Times New Roman" w:cs="Times New Roman"/>
          <w:sz w:val="28"/>
          <w:szCs w:val="28"/>
          <w:lang w:val="uk-UA"/>
        </w:rPr>
        <w:t>апарати зовнішньої фіксації</w:t>
      </w:r>
      <w:r w:rsidRPr="003F3EE4">
        <w:rPr>
          <w:rFonts w:ascii="Times New Roman" w:hAnsi="Times New Roman" w:cs="Times New Roman"/>
          <w:sz w:val="28"/>
          <w:szCs w:val="28"/>
          <w:lang w:val="uk-UA"/>
        </w:rPr>
        <w:t>.</w:t>
      </w:r>
    </w:p>
    <w:p w:rsidR="00AA123B" w:rsidRPr="003F3EE4" w:rsidRDefault="00AA123B" w:rsidP="00AA123B">
      <w:pPr>
        <w:spacing w:after="0" w:line="276" w:lineRule="auto"/>
        <w:jc w:val="center"/>
        <w:rPr>
          <w:rFonts w:ascii="Times New Roman" w:hAnsi="Times New Roman" w:cs="Times New Roman"/>
          <w:sz w:val="28"/>
          <w:szCs w:val="28"/>
          <w:lang w:val="uk-UA"/>
        </w:rPr>
      </w:pPr>
      <w:r w:rsidRPr="003F3EE4">
        <w:rPr>
          <w:noProof/>
          <w:lang w:eastAsia="ru-RU"/>
        </w:rPr>
        <w:drawing>
          <wp:inline distT="0" distB="0" distL="0" distR="0" wp14:anchorId="67E32DA5" wp14:editId="115AF806">
            <wp:extent cx="2600325" cy="1904889"/>
            <wp:effectExtent l="0" t="0" r="0" b="0"/>
            <wp:docPr id="133" name="Рисунок 133" descr="Методики остеосинтезу переломів діафіза плечової кістки: А – фіксація інтрамедулярним блокуючим стержнем; Б – фіксація стержневим апаратом зовнішньої фіксації; В – фіксація пластино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етодики остеосинтезу переломів діафіза плечової кістки: А – фіксація інтрамедулярним блокуючим стержнем; Б – фіксація стержневим апаратом зовнішньої фіксації; В – фіксація пластино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7177" cy="1909908"/>
                    </a:xfrm>
                    <a:prstGeom prst="rect">
                      <a:avLst/>
                    </a:prstGeom>
                    <a:noFill/>
                    <a:ln>
                      <a:noFill/>
                    </a:ln>
                  </pic:spPr>
                </pic:pic>
              </a:graphicData>
            </a:graphic>
          </wp:inline>
        </w:drawing>
      </w:r>
    </w:p>
    <w:p w:rsidR="00AA123B" w:rsidRPr="003F3EE4" w:rsidRDefault="00AA123B" w:rsidP="00AA123B">
      <w:pPr>
        <w:spacing w:before="120" w:after="0" w:line="276" w:lineRule="auto"/>
        <w:jc w:val="center"/>
        <w:rPr>
          <w:rFonts w:ascii="Times New Roman" w:hAnsi="Times New Roman" w:cs="Times New Roman"/>
          <w:sz w:val="28"/>
          <w:szCs w:val="28"/>
          <w:lang w:val="uk-UA"/>
        </w:rPr>
      </w:pPr>
      <w:r>
        <w:rPr>
          <w:rFonts w:ascii="Times New Roman" w:hAnsi="Times New Roman" w:cs="Times New Roman"/>
          <w:color w:val="222222"/>
          <w:sz w:val="28"/>
          <w:szCs w:val="28"/>
          <w:lang w:val="uk-UA"/>
        </w:rPr>
        <w:t>Рисунок</w:t>
      </w:r>
      <w:r w:rsidRPr="003F3EE4">
        <w:rPr>
          <w:rFonts w:ascii="Times New Roman" w:hAnsi="Times New Roman" w:cs="Times New Roman"/>
          <w:color w:val="222222"/>
          <w:sz w:val="28"/>
          <w:szCs w:val="28"/>
          <w:lang w:val="uk-UA"/>
        </w:rPr>
        <w:t xml:space="preserve"> – Методики остеосинтезу переломів діафізу плечової кістки: А – фіксація інтрамедулярним блокувальним стержнем; Б – фіксація стержневим апаратом зовнішньої фіксації; В – фіксація пластиною</w:t>
      </w:r>
    </w:p>
    <w:p w:rsidR="00AA123B" w:rsidRPr="003F3EE4" w:rsidRDefault="00AA123B" w:rsidP="00AA123B">
      <w:pPr>
        <w:jc w:val="center"/>
        <w:rPr>
          <w:rFonts w:ascii="Times New Roman" w:hAnsi="Times New Roman" w:cs="Times New Roman"/>
          <w:sz w:val="28"/>
          <w:szCs w:val="28"/>
          <w:lang w:val="uk-UA"/>
        </w:rPr>
      </w:pPr>
    </w:p>
    <w:p w:rsidR="00AA123B" w:rsidRDefault="00AA123B" w:rsidP="00AA123B">
      <w:pPr>
        <w:spacing w:after="120" w:line="276" w:lineRule="auto"/>
        <w:ind w:firstLine="720"/>
        <w:rPr>
          <w:rFonts w:ascii="Times New Roman" w:hAnsi="Times New Roman" w:cs="Times New Roman"/>
          <w:b/>
          <w:bCs/>
          <w:sz w:val="28"/>
          <w:szCs w:val="28"/>
          <w:lang w:val="uk-UA"/>
        </w:rPr>
      </w:pPr>
      <w:r w:rsidRPr="003F3EE4">
        <w:rPr>
          <w:rFonts w:ascii="Times New Roman" w:hAnsi="Times New Roman" w:cs="Times New Roman"/>
          <w:b/>
          <w:bCs/>
          <w:sz w:val="28"/>
          <w:szCs w:val="28"/>
          <w:lang w:val="uk-UA"/>
        </w:rPr>
        <w:t xml:space="preserve"> Дiафiзарні переломи кісток передпліччя</w:t>
      </w:r>
    </w:p>
    <w:p w:rsidR="00AA123B" w:rsidRPr="003F3EE4" w:rsidRDefault="00AA123B" w:rsidP="00AA123B">
      <w:pPr>
        <w:spacing w:after="120" w:line="276" w:lineRule="auto"/>
        <w:ind w:firstLine="720"/>
        <w:rPr>
          <w:rFonts w:ascii="Times New Roman" w:hAnsi="Times New Roman" w:cs="Times New Roman"/>
          <w:b/>
          <w:bCs/>
          <w:sz w:val="28"/>
          <w:szCs w:val="28"/>
          <w:lang w:val="uk-UA"/>
        </w:rPr>
      </w:pPr>
      <w:bookmarkStart w:id="0" w:name="_GoBack"/>
      <w:bookmarkEnd w:id="0"/>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Діафізарні переломи обох кісток передпліччя становлять 53% від всіх переломів кісток верхньої кінцівки.</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Переломи кісток передпліччя виникають під впливом прямої травми (удар, здавлювання) та непрямої (падіння на витягнуту руку). Переломи кісток передпліччя відбуваються на різних рівнях.</w:t>
      </w:r>
    </w:p>
    <w:p w:rsidR="00AA123B" w:rsidRPr="003F3EE4" w:rsidRDefault="00AA123B" w:rsidP="00AA123B">
      <w:pPr>
        <w:spacing w:after="0" w:line="276" w:lineRule="auto"/>
        <w:ind w:firstLine="720"/>
        <w:rPr>
          <w:rFonts w:ascii="Times New Roman" w:hAnsi="Times New Roman" w:cs="Times New Roman"/>
          <w:i/>
          <w:sz w:val="28"/>
          <w:szCs w:val="28"/>
          <w:lang w:val="uk-UA"/>
        </w:rPr>
      </w:pPr>
      <w:r w:rsidRPr="003F3EE4">
        <w:rPr>
          <w:rFonts w:ascii="Times New Roman" w:hAnsi="Times New Roman" w:cs="Times New Roman"/>
          <w:i/>
          <w:sz w:val="28"/>
          <w:szCs w:val="28"/>
          <w:lang w:val="uk-UA"/>
        </w:rPr>
        <w:t>Класифікація.</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Відповідно до класифікації ОА/ASIF, переломи діафізу плечової кістки розподіляються на три групи:</w:t>
      </w:r>
    </w:p>
    <w:p w:rsidR="00AA123B" w:rsidRPr="00076241" w:rsidRDefault="00AA123B" w:rsidP="00AA123B">
      <w:pPr>
        <w:spacing w:after="0" w:line="276" w:lineRule="auto"/>
        <w:ind w:firstLine="720"/>
        <w:jc w:val="both"/>
        <w:rPr>
          <w:rFonts w:ascii="Times New Roman" w:hAnsi="Times New Roman" w:cs="Times New Roman"/>
          <w:spacing w:val="-8"/>
          <w:sz w:val="28"/>
          <w:szCs w:val="28"/>
          <w:lang w:val="uk-UA"/>
        </w:rPr>
      </w:pPr>
      <w:r w:rsidRPr="00076241">
        <w:rPr>
          <w:rFonts w:ascii="Times New Roman" w:hAnsi="Times New Roman" w:cs="Times New Roman"/>
          <w:spacing w:val="-8"/>
          <w:sz w:val="28"/>
          <w:szCs w:val="28"/>
          <w:lang w:val="uk-UA"/>
        </w:rPr>
        <w:t>А – прості (А), ліктьової кістки (А1), променевої кістки (А2), обох кісток (А3);</w:t>
      </w:r>
    </w:p>
    <w:p w:rsidR="00AA123B" w:rsidRPr="003F3EE4" w:rsidRDefault="00AA123B" w:rsidP="00AA123B">
      <w:pPr>
        <w:spacing w:after="0" w:line="276" w:lineRule="auto"/>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В – клиноподібні (В): ліктьової кістки (В1), променевої кістки (В2), обох кісток (В3);</w:t>
      </w:r>
    </w:p>
    <w:p w:rsidR="00AA123B" w:rsidRPr="00076241" w:rsidRDefault="00AA123B" w:rsidP="00AA123B">
      <w:pPr>
        <w:spacing w:after="0" w:line="276" w:lineRule="auto"/>
        <w:ind w:firstLine="720"/>
        <w:jc w:val="both"/>
        <w:rPr>
          <w:rFonts w:ascii="Times New Roman" w:hAnsi="Times New Roman" w:cs="Times New Roman"/>
          <w:spacing w:val="-8"/>
          <w:sz w:val="28"/>
          <w:szCs w:val="28"/>
          <w:lang w:val="uk-UA"/>
        </w:rPr>
      </w:pPr>
      <w:r w:rsidRPr="00076241">
        <w:rPr>
          <w:rFonts w:ascii="Times New Roman" w:hAnsi="Times New Roman" w:cs="Times New Roman"/>
          <w:spacing w:val="-8"/>
          <w:sz w:val="28"/>
          <w:szCs w:val="28"/>
          <w:lang w:val="uk-UA"/>
        </w:rPr>
        <w:t>С – складні (С): ліктьової кістки (С1), променевої кістки (С2), обох кісток (С3).</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lastRenderedPageBreak/>
        <w:t>Розрізняють переломи у верхній, середній та нижній третини обох кісток передпліччя, а також ізольовані переломи ліктьової чи променевої кісток. При ізольованих переломах через особливості анатомічної будови передпліччя скорочення довжини променевої кістки, тобто усунення її уламків по довжині, призводить до вивиху головки ліктьової кістки (переломовивих Галеацці), скорочення ж довжини ліктьової кістки після перелому супроводжується вивихом головки променевої кістки (переломовивих Монтеджа).</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За характером лінії зламу переломи можуть бути поперечними, косими, </w:t>
      </w:r>
      <w:r>
        <w:rPr>
          <w:rFonts w:ascii="Times New Roman" w:hAnsi="Times New Roman" w:cs="Times New Roman"/>
          <w:sz w:val="28"/>
          <w:szCs w:val="28"/>
          <w:lang w:val="uk-UA"/>
        </w:rPr>
        <w:t>осколковими</w:t>
      </w:r>
      <w:r w:rsidRPr="003F3EE4">
        <w:rPr>
          <w:rFonts w:ascii="Times New Roman" w:hAnsi="Times New Roman" w:cs="Times New Roman"/>
          <w:sz w:val="28"/>
          <w:szCs w:val="28"/>
          <w:lang w:val="uk-UA"/>
        </w:rPr>
        <w:t xml:space="preserve"> і роздробленими. У маленьких дітей спостерігається неповний перелом по типу  «зеленої гілки», а в дітей старшого віку – підокісні переломи, часто з кутовим усуненням.</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Складна ротаційна функція передпліччя (пронація та супінація) обумовлена дією спеціальних м'язових груп, обертанням променевої кістки навколо ліктьової в променево-ліктьових зчленуваннях (дистальне та проксимальне) та наявністю фізіологічних вигинів променевої кістки.</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i/>
          <w:sz w:val="28"/>
          <w:szCs w:val="28"/>
          <w:lang w:val="uk-UA"/>
        </w:rPr>
        <w:t>Зміщення уламків.</w:t>
      </w:r>
      <w:r w:rsidRPr="003F3EE4">
        <w:rPr>
          <w:rFonts w:ascii="Times New Roman" w:hAnsi="Times New Roman" w:cs="Times New Roman"/>
          <w:sz w:val="28"/>
          <w:szCs w:val="28"/>
          <w:lang w:val="uk-UA"/>
        </w:rPr>
        <w:t xml:space="preserve"> При переломах кісток передпліччя спостерігається усунення уламків по ширині, довжині, під кутом та ротаційні. Ротаційні зміщення центральних і периферичних уламків кісток передпліччя залежать від рівня перелому та місця прикріплення м'язів-супінаторів і пронаторів.</w:t>
      </w:r>
    </w:p>
    <w:p w:rsidR="00AA123B" w:rsidRPr="003F3EE4" w:rsidRDefault="00AA123B" w:rsidP="00AA123B">
      <w:pPr>
        <w:spacing w:after="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ab/>
      </w:r>
      <w:r w:rsidRPr="003F3EE4">
        <w:rPr>
          <w:rFonts w:ascii="Times New Roman" w:hAnsi="Times New Roman" w:cs="Times New Roman"/>
          <w:i/>
          <w:sz w:val="28"/>
          <w:szCs w:val="28"/>
          <w:lang w:val="uk-UA"/>
        </w:rPr>
        <w:t>Клінічна картина.</w:t>
      </w:r>
      <w:r w:rsidRPr="003F3EE4">
        <w:rPr>
          <w:rFonts w:ascii="Times New Roman" w:hAnsi="Times New Roman" w:cs="Times New Roman"/>
          <w:sz w:val="28"/>
          <w:szCs w:val="28"/>
          <w:lang w:val="uk-UA"/>
        </w:rPr>
        <w:t xml:space="preserve"> Характеризується наявністю набряклості, болісності на протязі, деформації, патологічної рухливості кісток передпліччя і порушенням функції суміжних суглобів.</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Догоспітальна допомога.</w:t>
      </w:r>
      <w:r w:rsidRPr="003F3EE4">
        <w:rPr>
          <w:rFonts w:ascii="Times New Roman" w:hAnsi="Times New Roman" w:cs="Times New Roman"/>
          <w:sz w:val="28"/>
          <w:szCs w:val="28"/>
          <w:lang w:val="uk-UA"/>
        </w:rPr>
        <w:t xml:space="preserve"> Транспортна іммобілізація драбинчастою шиною Крамера, підручними засобами, пневмошинами.</w:t>
      </w:r>
    </w:p>
    <w:p w:rsidR="00AA123B" w:rsidRPr="003F3EE4" w:rsidRDefault="00AA123B" w:rsidP="00AA123B">
      <w:pPr>
        <w:spacing w:after="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ab/>
      </w:r>
      <w:r w:rsidRPr="003F3EE4">
        <w:rPr>
          <w:rFonts w:ascii="Times New Roman" w:hAnsi="Times New Roman" w:cs="Times New Roman"/>
          <w:i/>
          <w:iCs/>
          <w:sz w:val="28"/>
          <w:szCs w:val="28"/>
          <w:lang w:val="uk-UA"/>
        </w:rPr>
        <w:t xml:space="preserve">Діагностика. </w:t>
      </w:r>
      <w:r w:rsidRPr="003F3EE4">
        <w:rPr>
          <w:rFonts w:ascii="Times New Roman" w:hAnsi="Times New Roman" w:cs="Times New Roman"/>
          <w:sz w:val="28"/>
          <w:szCs w:val="28"/>
          <w:lang w:val="uk-UA"/>
        </w:rPr>
        <w:t>Виконують рентгенографію у двох проєкціях із захопленням ліктьового та променево-зап'ясткових суглобів.</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i/>
          <w:iCs/>
          <w:sz w:val="28"/>
          <w:szCs w:val="28"/>
          <w:lang w:val="uk-UA"/>
        </w:rPr>
        <w:t>Медичний менеджмент.</w:t>
      </w:r>
      <w:r w:rsidRPr="003F3EE4">
        <w:rPr>
          <w:rFonts w:ascii="Times New Roman" w:hAnsi="Times New Roman" w:cs="Times New Roman"/>
          <w:sz w:val="28"/>
          <w:szCs w:val="28"/>
          <w:lang w:val="uk-UA"/>
        </w:rPr>
        <w:t xml:space="preserve"> При переломі діафізів обох кісток передпліччя без зміщення уламків кінцівку фіксують задньою гіпсовою шиною від середини плеча до головок п’ясткових кісток у  положенні згинання передпліччя в ліктьовому суглобі до 90° і напівпронованому передпліччі. При підокісних переломах у дітей не можна залишати навіть незначне кутове зміщення, оскільки з віком дитини деформація прогресує. Термін іммобілізації у дорослих становить 8-10 тижнів. </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При переломах у верхній третині діафізів кісток передпліччя для вправлення уламків потрібно провести дистракцію, а периферичні уламки потрібно перевести у положення максимальної супінації та зіставити їх із центральними. </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t xml:space="preserve">При переломах у  середній третині необхідно вправляти відламки передпліччя в  середньому положенні між супінацією та  пронацією, і  після вправлення уламків положення передпліччя в  гіпсі має бути аналогічним. </w:t>
      </w:r>
    </w:p>
    <w:p w:rsidR="00AA123B" w:rsidRPr="003F3EE4" w:rsidRDefault="00AA123B" w:rsidP="00AA123B">
      <w:pPr>
        <w:spacing w:after="0"/>
        <w:ind w:firstLine="720"/>
        <w:jc w:val="both"/>
        <w:rPr>
          <w:rFonts w:ascii="Times New Roman" w:hAnsi="Times New Roman" w:cs="Times New Roman"/>
          <w:sz w:val="28"/>
          <w:szCs w:val="28"/>
          <w:lang w:val="uk-UA"/>
        </w:rPr>
      </w:pPr>
      <w:r w:rsidRPr="003F3EE4">
        <w:rPr>
          <w:rFonts w:ascii="Times New Roman" w:hAnsi="Times New Roman" w:cs="Times New Roman"/>
          <w:sz w:val="28"/>
          <w:szCs w:val="28"/>
          <w:lang w:val="uk-UA"/>
        </w:rPr>
        <w:lastRenderedPageBreak/>
        <w:t>При переломах кісток дистального кінця передпліччя вправляти уламки необхідно у деякій пронації, в такому ж положенні їх фіксують у гіпсовій пов’язці від середньої третини плеча до головок п’ясткових кісток. Але все ж таки у більшості випадків вправити відламки не вдається, особливо при косих, гвинтоподібних і багато</w:t>
      </w:r>
      <w:r>
        <w:rPr>
          <w:rFonts w:ascii="Times New Roman" w:hAnsi="Times New Roman" w:cs="Times New Roman"/>
          <w:sz w:val="28"/>
          <w:szCs w:val="28"/>
          <w:lang w:val="uk-UA"/>
        </w:rPr>
        <w:t>у</w:t>
      </w:r>
      <w:r w:rsidRPr="003F3EE4">
        <w:rPr>
          <w:rFonts w:ascii="Times New Roman" w:hAnsi="Times New Roman" w:cs="Times New Roman"/>
          <w:sz w:val="28"/>
          <w:szCs w:val="28"/>
          <w:lang w:val="uk-UA"/>
        </w:rPr>
        <w:t>ламкових діафізарних переломах обох кісток передпліччя. Тому проводять відкриту репозицію та металоостеосинтез за допомогою пластин, інтрамедулярних блокувальних стержнів, апаратів зовнішньої фіксації.</w:t>
      </w:r>
    </w:p>
    <w:p w:rsidR="00F14FCD" w:rsidRDefault="00F14FCD"/>
    <w:sectPr w:rsidR="00F14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3A6"/>
    <w:rsid w:val="00A903A6"/>
    <w:rsid w:val="00AA123B"/>
    <w:rsid w:val="00F14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3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12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23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12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1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V</dc:creator>
  <cp:keywords/>
  <dc:description/>
  <cp:lastModifiedBy>Elena V</cp:lastModifiedBy>
  <cp:revision>2</cp:revision>
  <dcterms:created xsi:type="dcterms:W3CDTF">2024-11-04T17:03:00Z</dcterms:created>
  <dcterms:modified xsi:type="dcterms:W3CDTF">2024-11-04T17:04:00Z</dcterms:modified>
</cp:coreProperties>
</file>