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0B9" w:rsidRPr="00285392" w:rsidRDefault="004800B9" w:rsidP="00480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Лекція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1. Вступ.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Теоретичні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проблеми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процесу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перекладу</w:t>
      </w:r>
    </w:p>
    <w:p w:rsidR="004800B9" w:rsidRPr="004800B9" w:rsidRDefault="004800B9" w:rsidP="00480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Запитання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для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обговорення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800B9" w:rsidRPr="00285392" w:rsidRDefault="004800B9" w:rsidP="004800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існують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 як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процесу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Чим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відрізняється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 як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 як результату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парадигми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підходи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теорії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відомі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сьогодні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фактори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впливають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 в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офіційно-ділових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текстах?</w:t>
      </w:r>
    </w:p>
    <w:p w:rsidR="004800B9" w:rsidRPr="00285392" w:rsidRDefault="004800B9" w:rsidP="004800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історично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розвивалась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наукова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думка про переклад?</w:t>
      </w:r>
    </w:p>
    <w:p w:rsidR="004800B9" w:rsidRPr="00285392" w:rsidRDefault="004800B9" w:rsidP="004800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ключові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проблеми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стоять перед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перекладачем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передачі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офіційно-ділових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повідомлень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Чому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важливо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досліджувати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теоретичні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аспекти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перекладу?</w:t>
      </w:r>
    </w:p>
    <w:p w:rsidR="004800B9" w:rsidRPr="00285392" w:rsidRDefault="004800B9" w:rsidP="004800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покладаються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дослідника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галузі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перекладознавства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4800B9" w:rsidRDefault="004800B9" w:rsidP="00480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Рекомендована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література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800B9" w:rsidRPr="00285392" w:rsidRDefault="004800B9" w:rsidP="004800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Найда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Ю. «Переклад: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теорія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практика». –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Освіта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, 2005.</w:t>
      </w:r>
    </w:p>
    <w:p w:rsidR="004800B9" w:rsidRPr="00285392" w:rsidRDefault="004800B9" w:rsidP="004800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Федоров О. «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перекладознавства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–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Львів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Світ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, 2008.</w:t>
      </w:r>
    </w:p>
    <w:p w:rsidR="004800B9" w:rsidRPr="004800B9" w:rsidRDefault="006E3B0A" w:rsidP="0048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4800B9" w:rsidRPr="00285392" w:rsidRDefault="004800B9" w:rsidP="00480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Лекція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2.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Етапи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процесу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перекладу та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поняття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одиниці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перекладу</w:t>
      </w:r>
    </w:p>
    <w:p w:rsidR="004800B9" w:rsidRPr="004800B9" w:rsidRDefault="004800B9" w:rsidP="00480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Запитання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для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обговорення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800B9" w:rsidRPr="00285392" w:rsidRDefault="004800B9" w:rsidP="004800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етапи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процесу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виділяють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дослідники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4800B9" w:rsidRDefault="004800B9" w:rsidP="004800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en-US"/>
        </w:rPr>
        <w:t>Що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en-US"/>
        </w:rPr>
        <w:t>таке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en-US"/>
        </w:rPr>
        <w:t>одиниця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en-US"/>
        </w:rPr>
        <w:t>перекладу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en-US"/>
        </w:rPr>
        <w:t>»?</w:t>
      </w:r>
    </w:p>
    <w:p w:rsidR="004800B9" w:rsidRPr="00285392" w:rsidRDefault="004800B9" w:rsidP="004800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підходи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вичленовування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одиниці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перекладу?</w:t>
      </w:r>
    </w:p>
    <w:p w:rsidR="004800B9" w:rsidRPr="00285392" w:rsidRDefault="004800B9" w:rsidP="004800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критерії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застосовують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меж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одиниці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перекладу?</w:t>
      </w:r>
    </w:p>
    <w:p w:rsidR="004800B9" w:rsidRPr="00285392" w:rsidRDefault="004800B9" w:rsidP="004800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впливають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розмір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структура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одиниці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 на результат?</w:t>
      </w:r>
    </w:p>
    <w:p w:rsidR="004800B9" w:rsidRPr="00285392" w:rsidRDefault="004800B9" w:rsidP="004800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аналізу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використовують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визначенні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одиниці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перекладу?</w:t>
      </w:r>
    </w:p>
    <w:p w:rsidR="004800B9" w:rsidRPr="00285392" w:rsidRDefault="004800B9" w:rsidP="004800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Чим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відрізняються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лексичні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синтаксичні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одиниці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перекладу?</w:t>
      </w:r>
    </w:p>
    <w:p w:rsidR="004800B9" w:rsidRPr="00285392" w:rsidRDefault="004800B9" w:rsidP="004800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Яку роль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відіграє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контекст при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вичленовуванні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одиниці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перекладу?</w:t>
      </w:r>
    </w:p>
    <w:p w:rsidR="004800B9" w:rsidRPr="004800B9" w:rsidRDefault="004800B9" w:rsidP="00480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Рекомендована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література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800B9" w:rsidRPr="00285392" w:rsidRDefault="004800B9" w:rsidP="004800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Городецький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 «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Проблеми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перекладу: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теорія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практика». –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Ліра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, 2010.</w:t>
      </w:r>
    </w:p>
    <w:p w:rsidR="004800B9" w:rsidRPr="00285392" w:rsidRDefault="004800B9" w:rsidP="004800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Соколова Л. «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Одиниця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перекладу: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аналізу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–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Харків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: Вид-во ХНУ, 2012.</w:t>
      </w:r>
    </w:p>
    <w:p w:rsidR="004800B9" w:rsidRPr="004800B9" w:rsidRDefault="006E3B0A" w:rsidP="0048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p w:rsidR="004800B9" w:rsidRPr="00285392" w:rsidRDefault="004800B9" w:rsidP="00480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Лекція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3.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Теорія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відповідностей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та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трансформацій</w:t>
      </w:r>
      <w:proofErr w:type="spellEnd"/>
    </w:p>
    <w:p w:rsidR="004800B9" w:rsidRPr="00285392" w:rsidRDefault="004800B9" w:rsidP="00480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Запитання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обговорення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4800B9" w:rsidRPr="00285392" w:rsidRDefault="004800B9" w:rsidP="004800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таке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теорія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відповідностей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визначається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відповідність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між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одиницями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вихідного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цільового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текстів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типи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відповідностей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існують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(формальна,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динамічна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функціонально-комунікативна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тощо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)?</w:t>
      </w:r>
    </w:p>
    <w:p w:rsidR="004800B9" w:rsidRPr="00285392" w:rsidRDefault="004800B9" w:rsidP="004800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таке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трансформації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види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трансформацій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виділяють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дослідники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трансформації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сприяють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передачі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смислових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нюансів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4800B9" w:rsidRDefault="004800B9" w:rsidP="004800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завжди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можлива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повна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еквівалентність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між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текстами?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en-US"/>
        </w:rPr>
        <w:t>Чому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</w:p>
    <w:p w:rsidR="004800B9" w:rsidRPr="00285392" w:rsidRDefault="004800B9" w:rsidP="004800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приклади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трансформацій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навести у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офіційно-ділових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текстів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Яку роль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відіграє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баланс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між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формою та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змістом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проблеми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виникають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застосуванні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трансформацій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4800B9" w:rsidRDefault="004800B9" w:rsidP="00480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Рекомендована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література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800B9" w:rsidRPr="00285392" w:rsidRDefault="004800B9" w:rsidP="004800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Левін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Є. «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Теорія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відповідностей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–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Видавничий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дім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«Критика», 2009.</w:t>
      </w:r>
    </w:p>
    <w:p w:rsidR="004800B9" w:rsidRPr="00285392" w:rsidRDefault="004800B9" w:rsidP="004800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Сітко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А. «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Трансформації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–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Львів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Астропринт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, 2011.</w:t>
      </w:r>
    </w:p>
    <w:p w:rsidR="004800B9" w:rsidRPr="004800B9" w:rsidRDefault="006E3B0A" w:rsidP="0048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4800B9" w:rsidRPr="00285392" w:rsidRDefault="004800B9" w:rsidP="00480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Лекція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4.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Інтерференція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при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перекладі</w:t>
      </w:r>
      <w:proofErr w:type="spellEnd"/>
    </w:p>
    <w:p w:rsidR="004800B9" w:rsidRPr="00285392" w:rsidRDefault="004800B9" w:rsidP="00480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Запитання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обговорення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4800B9" w:rsidRPr="00285392" w:rsidRDefault="004800B9" w:rsidP="004800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таке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інтерференція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перекладу?</w:t>
      </w:r>
    </w:p>
    <w:p w:rsidR="004800B9" w:rsidRPr="00285392" w:rsidRDefault="004800B9" w:rsidP="004800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типи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інтерференції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відомі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лексична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граматична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стилістична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)?</w:t>
      </w:r>
    </w:p>
    <w:p w:rsidR="004800B9" w:rsidRPr="00285392" w:rsidRDefault="004800B9" w:rsidP="004800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інтерференція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впливає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якість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офіційно-ділових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текстів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фактори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сприяють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виникненню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інтерференції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мінімізувати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негативний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вплив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інтерференції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вплив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культурна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специфіка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інтерференцію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діагностики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інтерференції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застосовують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дослідники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приклади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інтерференції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навести у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практиці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перекладу?</w:t>
      </w:r>
    </w:p>
    <w:p w:rsidR="004800B9" w:rsidRPr="004800B9" w:rsidRDefault="004800B9" w:rsidP="004800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завжди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інтерференція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є негативною?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en-US"/>
        </w:rPr>
        <w:t>Аргументуйте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800B9" w:rsidRPr="00285392" w:rsidRDefault="004800B9" w:rsidP="004800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стратегії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використовують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перекладачі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подолання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інтерференції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4800B9" w:rsidRDefault="004800B9" w:rsidP="00480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Рекомендована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література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800B9" w:rsidRPr="00285392" w:rsidRDefault="004800B9" w:rsidP="004800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Янгарський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 «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Інтерференція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– Одеса: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Астропринт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, 2013.</w:t>
      </w:r>
    </w:p>
    <w:p w:rsidR="004800B9" w:rsidRPr="00285392" w:rsidRDefault="004800B9" w:rsidP="004800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Тхір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В. «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Проблеми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інтерференції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–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Академія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, 2010.</w:t>
      </w:r>
    </w:p>
    <w:p w:rsidR="004800B9" w:rsidRPr="004800B9" w:rsidRDefault="006E3B0A" w:rsidP="0048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8" style="width:0;height:1.5pt" o:hralign="center" o:hrstd="t" o:hr="t" fillcolor="#a0a0a0" stroked="f"/>
        </w:pict>
      </w:r>
    </w:p>
    <w:p w:rsidR="004800B9" w:rsidRPr="00285392" w:rsidRDefault="004800B9" w:rsidP="00480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Лекція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5. Лексико-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семантичні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проблеми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перекладу: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власні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назви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та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вигуки</w:t>
      </w:r>
      <w:proofErr w:type="spellEnd"/>
    </w:p>
    <w:p w:rsidR="004800B9" w:rsidRPr="004800B9" w:rsidRDefault="004800B9" w:rsidP="00480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Запитання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для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обговорення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800B9" w:rsidRPr="00285392" w:rsidRDefault="004800B9" w:rsidP="004800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особливості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передачі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власних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назв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офіційно-ділових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текстів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транслітерації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трансформації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застосовують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власних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назв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перекладаються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вигуки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звуконаслідувальні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слова?</w:t>
      </w:r>
    </w:p>
    <w:p w:rsidR="004800B9" w:rsidRPr="00285392" w:rsidRDefault="004800B9" w:rsidP="004800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Чому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важливо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зберігати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фонетичну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особливість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вигуків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труднощі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виникають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передачі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культурно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обумовлених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назв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Яким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чином контекст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впливає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вибір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стратегії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власних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назв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вирішуються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проблеми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семантичної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точності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передачі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власних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назв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приклади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ефективного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власних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назв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навести?</w:t>
      </w:r>
    </w:p>
    <w:p w:rsidR="004800B9" w:rsidRPr="00285392" w:rsidRDefault="004800B9" w:rsidP="004800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впливають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мовні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норми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передачу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вигуків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існують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універсальні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стратегії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для перекладу</w:t>
      </w:r>
      <w:proofErr w:type="gram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звуконаслідувальних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слів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4800B9" w:rsidRDefault="004800B9" w:rsidP="00480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Рекомендована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література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800B9" w:rsidRPr="00285392" w:rsidRDefault="004800B9" w:rsidP="004800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Василенко Д. «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Проблеми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лексико-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семантичного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перекладу». –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Наукова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думка, 2011.</w:t>
      </w:r>
    </w:p>
    <w:p w:rsidR="004800B9" w:rsidRPr="00285392" w:rsidRDefault="004800B9" w:rsidP="004800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Карпюк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В. «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Особливості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передачі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власних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назв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–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Львів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Світ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, 2012.</w:t>
      </w:r>
    </w:p>
    <w:p w:rsidR="004800B9" w:rsidRPr="004800B9" w:rsidRDefault="006E3B0A" w:rsidP="0048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9" style="width:0;height:1.5pt" o:hralign="center" o:hrstd="t" o:hr="t" fillcolor="#a0a0a0" stroked="f"/>
        </w:pict>
      </w:r>
    </w:p>
    <w:p w:rsidR="004800B9" w:rsidRPr="00285392" w:rsidRDefault="004800B9" w:rsidP="00480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Лекція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6. Лексико-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семантичні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проблеми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перекладу: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фразеологізми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та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фігури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стилю</w:t>
      </w:r>
    </w:p>
    <w:p w:rsidR="004800B9" w:rsidRPr="004800B9" w:rsidRDefault="004800B9" w:rsidP="00480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Запитання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для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обговорення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800B9" w:rsidRPr="00285392" w:rsidRDefault="004800B9" w:rsidP="004800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таке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фразеологічні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одиниці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як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перекладають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типи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фразеологізмів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виділяють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здійснюється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адаптація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фразеологічних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виразів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цільової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труднощі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виникають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фігур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стилю?</w:t>
      </w:r>
    </w:p>
    <w:p w:rsidR="004800B9" w:rsidRPr="00285392" w:rsidRDefault="004800B9" w:rsidP="004800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перекладаються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метафори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епітети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інші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стилістичні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засоби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Чому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важливо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зберігати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емоційне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забарвлення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оригіналу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стратегії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використовують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передачі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нестандартних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мовних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одиниць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впливає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літературна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норма на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вибір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методики перекладу?</w:t>
      </w:r>
    </w:p>
    <w:p w:rsidR="004800B9" w:rsidRPr="00285392" w:rsidRDefault="004800B9" w:rsidP="004800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приклади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адаптації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фразеологізмів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офіційно-ділових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текстах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існують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Чим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відрізняється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буквальний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вільний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фразеологізмів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4800B9" w:rsidRDefault="004800B9" w:rsidP="00480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Рекомендована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література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800B9" w:rsidRPr="00285392" w:rsidRDefault="004800B9" w:rsidP="004800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Сухомлинський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П. «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Фразеологізми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проблеми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шляхи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вирішення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–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Ліра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, 2010.</w:t>
      </w:r>
    </w:p>
    <w:p w:rsidR="004800B9" w:rsidRPr="00285392" w:rsidRDefault="004800B9" w:rsidP="004800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Мельничук І. «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Фігури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стилю в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–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Харків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: Вид-во ХНУ, 2013.</w:t>
      </w:r>
    </w:p>
    <w:p w:rsidR="004800B9" w:rsidRPr="004800B9" w:rsidRDefault="006E3B0A" w:rsidP="0048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30" style="width:0;height:1.5pt" o:hralign="center" o:hrstd="t" o:hr="t" fillcolor="#a0a0a0" stroked="f"/>
        </w:pict>
      </w:r>
    </w:p>
    <w:p w:rsidR="004800B9" w:rsidRPr="00285392" w:rsidRDefault="004800B9" w:rsidP="00480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Лекція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7.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Граматичні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проблеми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перекладу: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експлікація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граматичного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значення</w:t>
      </w:r>
      <w:proofErr w:type="spellEnd"/>
    </w:p>
    <w:p w:rsidR="004800B9" w:rsidRPr="004800B9" w:rsidRDefault="004800B9" w:rsidP="00480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Запитання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для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обговорення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800B9" w:rsidRPr="00285392" w:rsidRDefault="004800B9" w:rsidP="004800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таке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експлікація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граматичного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перекладу?</w:t>
      </w:r>
    </w:p>
    <w:p w:rsidR="004800B9" w:rsidRPr="00285392" w:rsidRDefault="004800B9" w:rsidP="004800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відбувається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передача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граматичних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категорій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оригіналу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переклад?</w:t>
      </w:r>
    </w:p>
    <w:p w:rsidR="004800B9" w:rsidRPr="00285392" w:rsidRDefault="004800B9" w:rsidP="004800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особливості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найчастіше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викликають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труднощі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офіційно-ділових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текстів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Як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впливають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відмінності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граматичних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структурах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мов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переклад?</w:t>
      </w:r>
    </w:p>
    <w:p w:rsidR="004800B9" w:rsidRPr="00285392" w:rsidRDefault="004800B9" w:rsidP="004800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Яким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чином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перекладач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забезпечує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збереження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інваріантного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змісту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зміні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граматичної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аналізу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граматичного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перекладознавстві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Чим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відрізняється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експлікація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граматичного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мовах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різними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синтаксичними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системами?</w:t>
      </w:r>
    </w:p>
    <w:p w:rsidR="004800B9" w:rsidRPr="00285392" w:rsidRDefault="004800B9" w:rsidP="004800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приклади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успішної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експлікації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граматичного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навести?</w:t>
      </w:r>
    </w:p>
    <w:p w:rsidR="004800B9" w:rsidRPr="00285392" w:rsidRDefault="004800B9" w:rsidP="004800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забезпечується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адекватність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передачі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граматичних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285392" w:rsidRDefault="004800B9" w:rsidP="004800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рекомендації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дають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експерти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покращення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граматичної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точності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перекладу?</w:t>
      </w:r>
    </w:p>
    <w:p w:rsidR="004800B9" w:rsidRPr="004800B9" w:rsidRDefault="004800B9" w:rsidP="00480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Рекомендована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література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800B9" w:rsidRPr="00285392" w:rsidRDefault="004800B9" w:rsidP="004800B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Левін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Є. «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проблеми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перекладу». –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Академія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, 2009.</w:t>
      </w:r>
    </w:p>
    <w:p w:rsidR="004800B9" w:rsidRPr="00285392" w:rsidRDefault="004800B9" w:rsidP="004800B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Козак О. «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Експлікація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граматичного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–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Львів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Видавничий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дім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Світ</w:t>
      </w:r>
      <w:proofErr w:type="spellEnd"/>
      <w:r w:rsidRPr="00285392">
        <w:rPr>
          <w:rFonts w:ascii="Times New Roman" w:eastAsia="Times New Roman" w:hAnsi="Times New Roman" w:cs="Times New Roman"/>
          <w:sz w:val="24"/>
          <w:szCs w:val="24"/>
          <w:lang w:val="ru-RU"/>
        </w:rPr>
        <w:t>», 2011.</w:t>
      </w:r>
    </w:p>
    <w:p w:rsidR="004800B9" w:rsidRPr="004800B9" w:rsidRDefault="006E3B0A" w:rsidP="0048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31" style="width:0;height:1.5pt" o:hralign="center" o:hrstd="t" o:hr="t" fillcolor="#a0a0a0" stroked="f"/>
        </w:pict>
      </w:r>
    </w:p>
    <w:p w:rsidR="004800B9" w:rsidRPr="00285392" w:rsidRDefault="004800B9" w:rsidP="00480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Лекція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8.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Граматичні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проблеми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перекладу: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структурні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відмінності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і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реалізація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інваріантного</w:t>
      </w:r>
      <w:proofErr w:type="spellEnd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2853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змісту</w:t>
      </w:r>
      <w:proofErr w:type="spellEnd"/>
    </w:p>
    <w:p w:rsidR="004800B9" w:rsidRPr="004800B9" w:rsidRDefault="004800B9" w:rsidP="00480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Запитання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для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обговорення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800B9" w:rsidRPr="004800B9" w:rsidRDefault="004800B9" w:rsidP="004800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структурні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відмінності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граматичних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системах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мов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впливати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переклад?</w:t>
      </w:r>
    </w:p>
    <w:p w:rsidR="004800B9" w:rsidRPr="004800B9" w:rsidRDefault="004800B9" w:rsidP="004800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визначається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інваріант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змісту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контексті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перекладу?</w:t>
      </w:r>
    </w:p>
    <w:p w:rsidR="004800B9" w:rsidRPr="004800B9" w:rsidRDefault="004800B9" w:rsidP="004800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включення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граматичного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інваріант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зміст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4800B9" w:rsidRDefault="004800B9" w:rsidP="004800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перекладач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адаптує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граматичну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структуру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вихідного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тексту до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особливостей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цільової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мови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4800B9" w:rsidRDefault="004800B9" w:rsidP="004800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труднощі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виникають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передачі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граматичних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відрізняються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між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мовами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4800B9" w:rsidRDefault="004800B9" w:rsidP="004800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Чому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важлива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адаптація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граматичних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конструкцій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 перекладу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офіційно-ділових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текстів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4800B9" w:rsidRDefault="004800B9" w:rsidP="004800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приклади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успішного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вирішення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граматичних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проблем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навести?</w:t>
      </w:r>
    </w:p>
    <w:p w:rsidR="004800B9" w:rsidRPr="004800B9" w:rsidRDefault="004800B9" w:rsidP="004800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впливають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культурні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мовні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фактори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передачу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граматичного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4800B9" w:rsidRDefault="004800B9" w:rsidP="004800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рекомендації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дають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дослідники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полегшення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граматичного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перекладу?</w:t>
      </w:r>
    </w:p>
    <w:p w:rsidR="004800B9" w:rsidRPr="004800B9" w:rsidRDefault="004800B9" w:rsidP="004800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оцінити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ефективність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реалізації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інваріантного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змісту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800B9" w:rsidRPr="004800B9" w:rsidRDefault="004800B9" w:rsidP="00480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Рекомендована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література</w:t>
      </w:r>
      <w:proofErr w:type="spellEnd"/>
      <w:r w:rsidRPr="004800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800B9" w:rsidRPr="004800B9" w:rsidRDefault="004800B9" w:rsidP="004800B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Бойко М. «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Структурні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проблеми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граматики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–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Харків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Освіта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, 2012.</w:t>
      </w:r>
    </w:p>
    <w:p w:rsidR="004800B9" w:rsidRPr="004800B9" w:rsidRDefault="004800B9" w:rsidP="004800B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Іваненко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О. «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Інваріант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змісту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реалізація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–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Ліра</w:t>
      </w:r>
      <w:proofErr w:type="spellEnd"/>
      <w:r w:rsidRPr="004800B9">
        <w:rPr>
          <w:rFonts w:ascii="Times New Roman" w:eastAsia="Times New Roman" w:hAnsi="Times New Roman" w:cs="Times New Roman"/>
          <w:sz w:val="24"/>
          <w:szCs w:val="24"/>
          <w:lang w:val="ru-RU"/>
        </w:rPr>
        <w:t>, 2010.</w:t>
      </w:r>
    </w:p>
    <w:p w:rsidR="006E3B0A" w:rsidRDefault="006E3B0A" w:rsidP="00285392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Droid Sans Fallback" w:hAnsi="Times New Roman" w:cs="Times New Roman"/>
          <w:b/>
          <w:kern w:val="2"/>
          <w:sz w:val="28"/>
          <w:szCs w:val="28"/>
          <w:lang w:eastAsia="zh-CN" w:bidi="hi-IN"/>
        </w:rPr>
      </w:pPr>
    </w:p>
    <w:p w:rsidR="00285392" w:rsidRPr="00285392" w:rsidRDefault="00285392" w:rsidP="00285392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Droid Sans Fallback" w:hAnsi="Times New Roman" w:cs="Times New Roman"/>
          <w:b/>
          <w:kern w:val="2"/>
          <w:sz w:val="28"/>
          <w:szCs w:val="28"/>
          <w:lang w:eastAsia="zh-CN" w:bidi="hi-IN"/>
        </w:rPr>
      </w:pPr>
      <w:bookmarkStart w:id="0" w:name="_GoBack"/>
      <w:r w:rsidRPr="00285392">
        <w:rPr>
          <w:rFonts w:ascii="Times New Roman" w:eastAsia="Droid Sans Fallback" w:hAnsi="Times New Roman" w:cs="Times New Roman"/>
          <w:b/>
          <w:kern w:val="2"/>
          <w:sz w:val="28"/>
          <w:szCs w:val="28"/>
          <w:lang w:eastAsia="zh-CN" w:bidi="hi-IN"/>
        </w:rPr>
        <w:t>Рекомендована література</w:t>
      </w:r>
    </w:p>
    <w:p w:rsidR="00285392" w:rsidRPr="00285392" w:rsidRDefault="00285392" w:rsidP="00285392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  <w:r w:rsidRPr="00285392"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Основна:</w:t>
      </w:r>
    </w:p>
    <w:p w:rsidR="00285392" w:rsidRPr="00285392" w:rsidRDefault="00285392" w:rsidP="00285392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2853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Кіщенко</w:t>
      </w:r>
      <w:proofErr w:type="spellEnd"/>
      <w:r w:rsidRPr="002853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Ю. В. Вступ до перекладу.  Херсон : Вид-во ХДУ, 2007.  48 с.</w:t>
      </w:r>
    </w:p>
    <w:p w:rsidR="00285392" w:rsidRPr="00285392" w:rsidRDefault="00285392" w:rsidP="00285392">
      <w:pPr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Коптілов В. В. Теорія і практика переклад  Київ : Академія, 2003.  280 с.</w:t>
      </w:r>
    </w:p>
    <w:p w:rsidR="00285392" w:rsidRPr="00285392" w:rsidRDefault="00285392" w:rsidP="00285392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2853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Корунець</w:t>
      </w:r>
      <w:proofErr w:type="spellEnd"/>
      <w:r w:rsidRPr="002853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І. В. Вступ до </w:t>
      </w:r>
      <w:proofErr w:type="spellStart"/>
      <w:r w:rsidRPr="002853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перекладознавства</w:t>
      </w:r>
      <w:proofErr w:type="spellEnd"/>
      <w:r w:rsidRPr="002853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 Вінниця: Нова книга, 2008.  512с.</w:t>
      </w:r>
    </w:p>
    <w:p w:rsidR="00285392" w:rsidRPr="00285392" w:rsidRDefault="00285392" w:rsidP="00285392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853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Мірам Г.Е., Дейнеко В.В. Основи перекладу.  Київ: Ніка-Центр, 2002.– 237 с.</w:t>
      </w:r>
    </w:p>
    <w:p w:rsidR="00285392" w:rsidRPr="00285392" w:rsidRDefault="00285392" w:rsidP="00285392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</w:p>
    <w:p w:rsidR="00285392" w:rsidRPr="00285392" w:rsidRDefault="00285392" w:rsidP="00285392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</w:p>
    <w:p w:rsidR="00285392" w:rsidRPr="00285392" w:rsidRDefault="00285392" w:rsidP="00285392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  <w:r w:rsidRPr="00285392"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Додаткова:</w:t>
      </w:r>
    </w:p>
    <w:p w:rsidR="00285392" w:rsidRPr="00285392" w:rsidRDefault="00285392" w:rsidP="00285392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val="pl-PL"/>
        </w:rPr>
      </w:pPr>
      <w:r w:rsidRPr="00285392">
        <w:rPr>
          <w:rFonts w:ascii="Times New Roman" w:eastAsia="MS Mincho" w:hAnsi="Times New Roman" w:cs="Times New Roman"/>
          <w:bCs/>
          <w:sz w:val="24"/>
          <w:szCs w:val="24"/>
          <w:lang w:val="pl-PL"/>
        </w:rPr>
        <w:t>Barbara Guzik-Świca, Kamila Kwiatkowska, Agnieszka Roczniak, Maria Maćkowicz. Język polski bez granic (B1). Warszawa : Wspólnota Polska, 2020. 212 s.</w:t>
      </w:r>
    </w:p>
    <w:p w:rsidR="00285392" w:rsidRPr="00285392" w:rsidRDefault="00285392" w:rsidP="00285392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val="ru-RU"/>
        </w:rPr>
      </w:pPr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Кравчук Алла. </w:t>
      </w:r>
      <w:proofErr w:type="spellStart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Польська</w:t>
      </w:r>
      <w:proofErr w:type="spellEnd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граматика</w:t>
      </w:r>
      <w:proofErr w:type="spellEnd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в </w:t>
      </w:r>
      <w:proofErr w:type="spellStart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таблицях</w:t>
      </w:r>
      <w:proofErr w:type="spellEnd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.  К.: </w:t>
      </w:r>
      <w:proofErr w:type="spellStart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Фірма</w:t>
      </w:r>
      <w:proofErr w:type="spellEnd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«</w:t>
      </w:r>
      <w:proofErr w:type="spellStart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Інкос</w:t>
      </w:r>
      <w:proofErr w:type="spellEnd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», 2019. 76 с.  </w:t>
      </w:r>
    </w:p>
    <w:p w:rsidR="00285392" w:rsidRPr="00285392" w:rsidRDefault="00285392" w:rsidP="00285392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val="pl-PL"/>
        </w:rPr>
      </w:pPr>
      <w:r w:rsidRPr="00285392">
        <w:rPr>
          <w:rFonts w:ascii="Times New Roman" w:eastAsia="MS Mincho" w:hAnsi="Times New Roman" w:cs="Times New Roman"/>
          <w:bCs/>
          <w:sz w:val="24"/>
          <w:szCs w:val="24"/>
          <w:lang w:val="pl-PL"/>
        </w:rPr>
        <w:t>Maliszewski B. Gramatyka z kulturą. Przez przypadki.  Lublin, 2020.  S. 7–22.</w:t>
      </w:r>
    </w:p>
    <w:p w:rsidR="00285392" w:rsidRPr="00285392" w:rsidRDefault="00285392" w:rsidP="00285392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val="pl-PL"/>
        </w:rPr>
      </w:pPr>
      <w:r w:rsidRPr="00285392">
        <w:rPr>
          <w:rFonts w:ascii="Times New Roman" w:eastAsia="MS Mincho" w:hAnsi="Times New Roman" w:cs="Times New Roman"/>
          <w:bCs/>
          <w:sz w:val="24"/>
          <w:szCs w:val="24"/>
          <w:lang w:val="pl-PL"/>
        </w:rPr>
        <w:t>Izdebska-Długosz D. Po polsku bez błędu. Zbiór ćwiczeń z gramatyki języka polskiego dla studentów ukraińskojęzycznych (A1–B1). – Rzeszów, 2017.</w:t>
      </w:r>
    </w:p>
    <w:p w:rsidR="00285392" w:rsidRPr="00285392" w:rsidRDefault="00285392" w:rsidP="00285392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val="pl-PL"/>
        </w:rPr>
      </w:pPr>
      <w:r w:rsidRPr="00285392">
        <w:rPr>
          <w:rFonts w:ascii="Times New Roman" w:eastAsia="MS Mincho" w:hAnsi="Times New Roman" w:cs="Times New Roman"/>
          <w:bCs/>
          <w:sz w:val="24"/>
          <w:szCs w:val="24"/>
          <w:lang w:val="pl-PL"/>
        </w:rPr>
        <w:t>Stempek, I. Polski, krok po kroku. Gry i zabawy językowe. Poziom A1, A2. – Kraków, 2012.</w:t>
      </w:r>
    </w:p>
    <w:p w:rsidR="00285392" w:rsidRPr="00285392" w:rsidRDefault="00285392" w:rsidP="00285392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val="pl-PL"/>
        </w:rPr>
      </w:pPr>
      <w:r w:rsidRPr="00285392">
        <w:rPr>
          <w:rFonts w:ascii="Times New Roman" w:eastAsia="MS Mincho" w:hAnsi="Times New Roman" w:cs="Times New Roman"/>
          <w:bCs/>
          <w:sz w:val="24"/>
          <w:szCs w:val="24"/>
          <w:lang w:val="pl-PL"/>
        </w:rPr>
        <w:t>Garncarek P. Czas na czasownik. – Kraków, 2001. – S. 15–20. 2. Machowska J. Gramatyka? Ależ tak! Ćwiczenia gramatyczne dla poziomu A2. – Kraków, 2014.</w:t>
      </w:r>
    </w:p>
    <w:p w:rsidR="00285392" w:rsidRPr="00285392" w:rsidRDefault="00285392" w:rsidP="00285392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val="pl-PL"/>
        </w:rPr>
      </w:pPr>
      <w:r w:rsidRPr="00285392">
        <w:rPr>
          <w:rFonts w:ascii="Times New Roman" w:eastAsia="MS Mincho" w:hAnsi="Times New Roman" w:cs="Times New Roman"/>
          <w:bCs/>
          <w:sz w:val="24"/>
          <w:szCs w:val="24"/>
          <w:lang w:val="pl-PL"/>
        </w:rPr>
        <w:t>Tambor A. Niecodzienny polski. Rozdziały: Stosunki międzynarodowe. Prawo. – Katowice, 2018. – S. 23-36, 63-67.</w:t>
      </w:r>
    </w:p>
    <w:p w:rsidR="00285392" w:rsidRPr="00285392" w:rsidRDefault="00285392" w:rsidP="00285392">
      <w:pPr>
        <w:spacing w:after="0" w:line="240" w:lineRule="auto"/>
        <w:ind w:left="720"/>
        <w:contextualSpacing/>
        <w:rPr>
          <w:rFonts w:ascii="Times New Roman" w:eastAsia="MS Mincho" w:hAnsi="Times New Roman" w:cs="Times New Roman"/>
          <w:b/>
          <w:bCs/>
          <w:sz w:val="28"/>
          <w:szCs w:val="28"/>
          <w:lang w:val="pl-PL"/>
        </w:rPr>
      </w:pPr>
    </w:p>
    <w:bookmarkEnd w:id="0"/>
    <w:p w:rsidR="00041EFB" w:rsidRPr="004800B9" w:rsidRDefault="00041EFB">
      <w:pPr>
        <w:rPr>
          <w:lang w:val="ru-RU"/>
        </w:rPr>
      </w:pPr>
    </w:p>
    <w:sectPr w:rsidR="00041EFB" w:rsidRPr="004800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altName w:val="Yu Gothic"/>
    <w:charset w:val="80"/>
    <w:family w:val="swiss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E00"/>
    <w:multiLevelType w:val="hybridMultilevel"/>
    <w:tmpl w:val="0E1CB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112B"/>
    <w:multiLevelType w:val="multilevel"/>
    <w:tmpl w:val="854AD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134BE"/>
    <w:multiLevelType w:val="multilevel"/>
    <w:tmpl w:val="27B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E5849"/>
    <w:multiLevelType w:val="multilevel"/>
    <w:tmpl w:val="6B16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95071"/>
    <w:multiLevelType w:val="multilevel"/>
    <w:tmpl w:val="7FDA5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1F6FD2"/>
    <w:multiLevelType w:val="multilevel"/>
    <w:tmpl w:val="5976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467D2"/>
    <w:multiLevelType w:val="multilevel"/>
    <w:tmpl w:val="4CC4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4C74AB"/>
    <w:multiLevelType w:val="multilevel"/>
    <w:tmpl w:val="2C46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B800BB"/>
    <w:multiLevelType w:val="hybridMultilevel"/>
    <w:tmpl w:val="653C2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3514C"/>
    <w:multiLevelType w:val="multilevel"/>
    <w:tmpl w:val="37CCE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F94FD0"/>
    <w:multiLevelType w:val="multilevel"/>
    <w:tmpl w:val="6998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AA4A6E"/>
    <w:multiLevelType w:val="multilevel"/>
    <w:tmpl w:val="59B01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1761A0"/>
    <w:multiLevelType w:val="multilevel"/>
    <w:tmpl w:val="E792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2D6E87"/>
    <w:multiLevelType w:val="multilevel"/>
    <w:tmpl w:val="F146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57609A"/>
    <w:multiLevelType w:val="multilevel"/>
    <w:tmpl w:val="6346F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97197F"/>
    <w:multiLevelType w:val="multilevel"/>
    <w:tmpl w:val="81504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67385F"/>
    <w:multiLevelType w:val="multilevel"/>
    <w:tmpl w:val="9EB4D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E03BE4"/>
    <w:multiLevelType w:val="multilevel"/>
    <w:tmpl w:val="A412D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12"/>
  </w:num>
  <w:num w:numId="5">
    <w:abstractNumId w:val="1"/>
  </w:num>
  <w:num w:numId="6">
    <w:abstractNumId w:val="10"/>
  </w:num>
  <w:num w:numId="7">
    <w:abstractNumId w:val="9"/>
  </w:num>
  <w:num w:numId="8">
    <w:abstractNumId w:val="13"/>
  </w:num>
  <w:num w:numId="9">
    <w:abstractNumId w:val="11"/>
  </w:num>
  <w:num w:numId="10">
    <w:abstractNumId w:val="2"/>
  </w:num>
  <w:num w:numId="11">
    <w:abstractNumId w:val="15"/>
  </w:num>
  <w:num w:numId="12">
    <w:abstractNumId w:val="3"/>
  </w:num>
  <w:num w:numId="13">
    <w:abstractNumId w:val="4"/>
  </w:num>
  <w:num w:numId="14">
    <w:abstractNumId w:val="7"/>
  </w:num>
  <w:num w:numId="15">
    <w:abstractNumId w:val="17"/>
  </w:num>
  <w:num w:numId="16">
    <w:abstractNumId w:val="6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98"/>
    <w:rsid w:val="00041EFB"/>
    <w:rsid w:val="00285392"/>
    <w:rsid w:val="004800B9"/>
    <w:rsid w:val="006E3B0A"/>
    <w:rsid w:val="00F7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E5052"/>
  <w15:chartTrackingRefBased/>
  <w15:docId w15:val="{BE38B25C-84F7-4762-96F0-5CCA6C81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2025-02-21T20:42:00Z</dcterms:created>
  <dcterms:modified xsi:type="dcterms:W3CDTF">2025-02-21T20:51:00Z</dcterms:modified>
</cp:coreProperties>
</file>