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EF" w:rsidRPr="00EC51EF" w:rsidRDefault="00EC51EF" w:rsidP="00EC51EF">
      <w:pPr>
        <w:spacing w:before="240"/>
        <w:jc w:val="center"/>
        <w:rPr>
          <w:b/>
          <w:sz w:val="28"/>
          <w:szCs w:val="28"/>
          <w:lang w:eastAsia="uk-UA"/>
        </w:rPr>
      </w:pPr>
      <w:r w:rsidRPr="00EC51EF">
        <w:rPr>
          <w:b/>
          <w:bCs/>
          <w:sz w:val="28"/>
          <w:szCs w:val="28"/>
        </w:rPr>
        <w:t xml:space="preserve">Грим. Тема №5. </w:t>
      </w:r>
      <w:r w:rsidRPr="00EC51EF">
        <w:rPr>
          <w:b/>
          <w:sz w:val="28"/>
          <w:szCs w:val="28"/>
          <w:lang w:eastAsia="uk-UA"/>
        </w:rPr>
        <w:t xml:space="preserve">Взаємозалежність </w:t>
      </w:r>
      <w:r w:rsidRPr="00EC51EF">
        <w:rPr>
          <w:rFonts w:eastAsiaTheme="minorEastAsia"/>
          <w:b/>
          <w:sz w:val="28"/>
          <w:szCs w:val="28"/>
        </w:rPr>
        <w:t>гриму сценічного персонажа, жанру літературного твору та жанру вистави.</w:t>
      </w:r>
    </w:p>
    <w:p w:rsidR="00744AA8" w:rsidRPr="00EC51EF" w:rsidRDefault="00744AA8">
      <w:pPr>
        <w:rPr>
          <w:sz w:val="28"/>
          <w:szCs w:val="28"/>
          <w:lang w:eastAsia="uk-UA"/>
        </w:rPr>
      </w:pPr>
    </w:p>
    <w:p w:rsidR="00744AA8" w:rsidRPr="00EC51EF" w:rsidRDefault="00744AA8">
      <w:pPr>
        <w:rPr>
          <w:sz w:val="28"/>
          <w:szCs w:val="28"/>
          <w:lang w:eastAsia="uk-UA"/>
        </w:rPr>
      </w:pPr>
    </w:p>
    <w:p w:rsidR="000E4086" w:rsidRPr="00EC51EF" w:rsidRDefault="00744AA8">
      <w:pPr>
        <w:rPr>
          <w:sz w:val="28"/>
          <w:szCs w:val="28"/>
        </w:rPr>
      </w:pPr>
      <w:r w:rsidRPr="00EC51EF">
        <w:rPr>
          <w:sz w:val="28"/>
          <w:szCs w:val="28"/>
          <w:lang w:eastAsia="uk-UA"/>
        </w:rPr>
        <w:t>П</w:t>
      </w:r>
      <w:r w:rsidRPr="00EC51EF">
        <w:rPr>
          <w:rFonts w:eastAsiaTheme="minorEastAsia"/>
          <w:sz w:val="28"/>
          <w:szCs w:val="28"/>
        </w:rPr>
        <w:t xml:space="preserve">оділ процесу створення гриму на послідовні підготовчі етапи: дослідження літературного твору, покладеного в основу театральної вистави (п'єси, повісті, роману, сценарію, казки, біографії, мемуарної літератури, листів); аналіз текстового матеріалу, що розкриває внутрішній світ персонажа і характерні риси його зовнішності; вивчення епохи, в якій жив і діяв персонаж (стиль костюму і зачіски), знайомство з творами живопису, скульптури та графіки, предметів матеріальної культури, прикладного мистецтва історичної епохи, про яку йдеться у п’єсі.  </w:t>
      </w:r>
    </w:p>
    <w:sectPr w:rsidR="000E4086" w:rsidRPr="00EC51EF" w:rsidSect="00F9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086"/>
    <w:rsid w:val="000E4086"/>
    <w:rsid w:val="00744AA8"/>
    <w:rsid w:val="00EC51EF"/>
    <w:rsid w:val="00F9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2025-03-02T17:41:00Z</dcterms:created>
  <dcterms:modified xsi:type="dcterms:W3CDTF">2025-03-02T17:43:00Z</dcterms:modified>
</cp:coreProperties>
</file>