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E4" w:rsidRPr="00624EE4" w:rsidRDefault="00624EE4" w:rsidP="0062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ЗАВДАННЯ 3.2</w:t>
      </w:r>
    </w:p>
    <w:p w:rsidR="00624EE4" w:rsidRPr="00624EE4" w:rsidRDefault="00624EE4" w:rsidP="0062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комплексний аналіз виконання бюджету суб'єктів державного сектору, зокрема:</w:t>
      </w:r>
    </w:p>
    <w:p w:rsidR="00624EE4" w:rsidRPr="00624EE4" w:rsidRDefault="00624EE4" w:rsidP="00624EE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органів державної влади та місцевого самоврядування</w:t>
      </w: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(обласні та міські адміністрації, ради тощо),</w:t>
      </w:r>
    </w:p>
    <w:p w:rsidR="00624EE4" w:rsidRPr="00624EE4" w:rsidRDefault="00624EE4" w:rsidP="00624EE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бюджетних установ</w:t>
      </w: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(заклади освіти, охорони здоров’я, культури, соціального захисту),</w:t>
      </w:r>
    </w:p>
    <w:p w:rsidR="00624EE4" w:rsidRPr="00624EE4" w:rsidRDefault="00624EE4" w:rsidP="00624EE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державних підприємств та організацій, що фінансуються з бюджету</w:t>
      </w: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(державні агентства, наукові інститути, комунальні підприємства).</w:t>
      </w:r>
    </w:p>
    <w:p w:rsidR="00624EE4" w:rsidRPr="00624EE4" w:rsidRDefault="00624EE4" w:rsidP="00624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 аналізу:</w:t>
      </w:r>
      <w:bookmarkStart w:id="0" w:name="_GoBack"/>
      <w:bookmarkEnd w:id="0"/>
    </w:p>
    <w:p w:rsidR="00624EE4" w:rsidRPr="00624EE4" w:rsidRDefault="00624EE4" w:rsidP="00624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виконання бюджету за статтями доходів і видатків, виявити відхилення від планових показників.</w:t>
      </w:r>
    </w:p>
    <w:p w:rsidR="00624EE4" w:rsidRPr="00624EE4" w:rsidRDefault="00624EE4" w:rsidP="00624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касові та фактичні видатки, визначити ефективність їх розподілу.</w:t>
      </w:r>
    </w:p>
    <w:p w:rsidR="00624EE4" w:rsidRPr="00624EE4" w:rsidRDefault="00624EE4" w:rsidP="00624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фінансову стійкість та збалансованість доходів і витрат.</w:t>
      </w:r>
    </w:p>
    <w:p w:rsidR="00624EE4" w:rsidRPr="00624EE4" w:rsidRDefault="00624EE4" w:rsidP="00624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Виявити проблемні статті бюджету та ризики недофінансування.</w:t>
      </w:r>
    </w:p>
    <w:p w:rsidR="00624EE4" w:rsidRPr="00624EE4" w:rsidRDefault="00624EE4" w:rsidP="00624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рекомендації щодо оптимізації фінансування, підвищення ефективності використання бюджетних коштів та залучення додаткових ресурсів.</w:t>
      </w:r>
    </w:p>
    <w:p w:rsidR="00EC002E" w:rsidRPr="00624EE4" w:rsidRDefault="00624EE4">
      <w:pPr>
        <w:rPr>
          <w:rFonts w:ascii="Times New Roman" w:hAnsi="Times New Roman" w:cs="Times New Roman"/>
          <w:sz w:val="28"/>
          <w:szCs w:val="28"/>
        </w:rPr>
      </w:pPr>
      <w:r w:rsidRPr="00624EE4">
        <w:rPr>
          <w:rFonts w:ascii="Times New Roman" w:hAnsi="Times New Roman" w:cs="Times New Roman"/>
          <w:sz w:val="28"/>
          <w:szCs w:val="28"/>
        </w:rPr>
        <w:t>Форма подання: Звіт у текстовому документі (5–7 сторінок) або презентація</w:t>
      </w:r>
    </w:p>
    <w:sectPr w:rsidR="00EC002E" w:rsidRPr="00624E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2E1"/>
    <w:multiLevelType w:val="multilevel"/>
    <w:tmpl w:val="1AB0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076DF"/>
    <w:multiLevelType w:val="multilevel"/>
    <w:tmpl w:val="47B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43"/>
    <w:rsid w:val="002E2E43"/>
    <w:rsid w:val="00624EE4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89B9"/>
  <w15:chartTrackingRefBased/>
  <w15:docId w15:val="{4B79890D-DD17-4332-A95C-AB53A06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353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2025-03-31T22:38:00Z</dcterms:created>
  <dcterms:modified xsi:type="dcterms:W3CDTF">2025-03-31T22:40:00Z</dcterms:modified>
</cp:coreProperties>
</file>