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B57" w:rsidRPr="00345B57" w:rsidRDefault="00345B57" w:rsidP="00345B57">
      <w:pPr>
        <w:spacing w:after="0"/>
        <w:ind w:left="0" w:firstLine="709"/>
        <w:rPr>
          <w:b/>
        </w:rPr>
      </w:pPr>
      <w:r w:rsidRPr="00345B57">
        <w:rPr>
          <w:b/>
        </w:rPr>
        <w:t xml:space="preserve">Практичні завдання для самостійного виконання </w:t>
      </w:r>
      <w:r>
        <w:rPr>
          <w:b/>
        </w:rPr>
        <w:t xml:space="preserve"> ( ПЗ 1.2)</w:t>
      </w:r>
    </w:p>
    <w:p w:rsidR="00345B57" w:rsidRDefault="00345B57" w:rsidP="00345B57">
      <w:pPr>
        <w:spacing w:after="0"/>
        <w:ind w:left="0" w:firstLine="709"/>
      </w:pPr>
    </w:p>
    <w:p w:rsidR="00345B57" w:rsidRDefault="00345B57" w:rsidP="00345B57">
      <w:pPr>
        <w:spacing w:after="0"/>
        <w:ind w:left="0" w:firstLine="709"/>
      </w:pPr>
    </w:p>
    <w:p w:rsidR="00345B57" w:rsidRDefault="00345B57" w:rsidP="00345B57">
      <w:pPr>
        <w:spacing w:after="0"/>
        <w:ind w:left="0" w:firstLine="709"/>
      </w:pPr>
      <w:r w:rsidRPr="00345B57">
        <w:rPr>
          <w:b/>
          <w:color w:val="2E74B5" w:themeColor="accent1" w:themeShade="BF"/>
        </w:rPr>
        <w:t>Завдання 1</w:t>
      </w:r>
      <w:r>
        <w:t>. Розподіліть надходження страхової компанії за видами діяльності (таблиця 1): страхова премія; грошові надходження від продажу акцій; суми, отримані в результаті реалізації переданого страхувальником або іншою особою права вимоги до особи, відповідальної за заподіяні збитки; надходження від здавання майна в оренду; комісійні винагороди за передачу ризиків у перестрахування; грошові надходження від продажу основних засобів; надходження грошових коштів від розміщення акцій та інших операцій, що приводять до збільшення власного капіталу; надходження від врегулювання безнадійної заборгованості; суми, що повертаються з резервів із страхування життя; штрафи, пені, інші надходження</w:t>
      </w:r>
    </w:p>
    <w:p w:rsidR="00345B57" w:rsidRDefault="00345B57">
      <w:pPr>
        <w:spacing w:after="0"/>
        <w:ind w:left="1729" w:firstLine="6699"/>
      </w:pPr>
    </w:p>
    <w:p w:rsidR="00345B57" w:rsidRDefault="00345B57">
      <w:pPr>
        <w:spacing w:after="0"/>
        <w:ind w:left="1729" w:firstLine="6699"/>
      </w:pPr>
    </w:p>
    <w:p w:rsidR="00570FFE" w:rsidRDefault="00B92A50">
      <w:pPr>
        <w:spacing w:after="0"/>
        <w:ind w:left="1729" w:firstLine="6699"/>
      </w:pPr>
      <w:r>
        <w:t xml:space="preserve">Таблиця 1 Розподіл потоків страхової компанії за видами діяльності </w:t>
      </w:r>
    </w:p>
    <w:tbl>
      <w:tblPr>
        <w:tblStyle w:val="TableGrid"/>
        <w:tblW w:w="9858" w:type="dxa"/>
        <w:tblInd w:w="-110" w:type="dxa"/>
        <w:tblCellMar>
          <w:top w:w="7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93"/>
        <w:gridCol w:w="2679"/>
        <w:gridCol w:w="2535"/>
        <w:gridCol w:w="2051"/>
      </w:tblGrid>
      <w:tr w:rsidR="00570FFE">
        <w:trPr>
          <w:trHeight w:val="567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 xml:space="preserve">операційна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інвестиційна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 xml:space="preserve">фінансова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19"/>
              <w:ind w:left="13" w:firstLine="0"/>
              <w:jc w:val="center"/>
            </w:pPr>
            <w:r>
              <w:rPr>
                <w:sz w:val="24"/>
              </w:rPr>
              <w:t xml:space="preserve">інші </w:t>
            </w:r>
          </w:p>
          <w:p w:rsidR="00570FFE" w:rsidRDefault="00B92A50">
            <w:pPr>
              <w:spacing w:after="0"/>
              <w:ind w:left="7" w:firstLine="0"/>
              <w:jc w:val="center"/>
            </w:pPr>
            <w:r>
              <w:rPr>
                <w:sz w:val="24"/>
              </w:rPr>
              <w:t xml:space="preserve">надходження </w:t>
            </w:r>
          </w:p>
        </w:tc>
      </w:tr>
      <w:tr w:rsidR="00570FFE">
        <w:trPr>
          <w:trHeight w:val="283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326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570FFE" w:rsidRDefault="00B92A50">
      <w:pPr>
        <w:spacing w:after="131"/>
        <w:ind w:left="710" w:firstLine="0"/>
        <w:jc w:val="left"/>
      </w:pPr>
      <w:r>
        <w:t xml:space="preserve"> </w:t>
      </w:r>
    </w:p>
    <w:p w:rsidR="00570FFE" w:rsidRDefault="00B92A50">
      <w:pPr>
        <w:spacing w:after="132"/>
        <w:ind w:left="705"/>
      </w:pPr>
      <w:r>
        <w:t xml:space="preserve">Завдання 2. Підтвердить або спростуйте твердження, наведені в таблиці 2. </w:t>
      </w:r>
    </w:p>
    <w:p w:rsidR="00570FFE" w:rsidRDefault="00B92A50" w:rsidP="00345B57">
      <w:pPr>
        <w:spacing w:after="179"/>
        <w:ind w:left="710" w:firstLine="0"/>
        <w:jc w:val="left"/>
      </w:pPr>
      <w:r>
        <w:t xml:space="preserve">Таблиця 2 </w:t>
      </w:r>
      <w:r w:rsidR="00345B57">
        <w:t xml:space="preserve">- </w:t>
      </w:r>
      <w:r>
        <w:t xml:space="preserve">Теоретичні твердження для виконання завдання </w:t>
      </w:r>
    </w:p>
    <w:tbl>
      <w:tblPr>
        <w:tblStyle w:val="TableGrid"/>
        <w:tblW w:w="9858" w:type="dxa"/>
        <w:tblInd w:w="-110" w:type="dxa"/>
        <w:tblCellMar>
          <w:top w:w="50" w:type="dxa"/>
          <w:left w:w="11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25"/>
        <w:gridCol w:w="2233"/>
      </w:tblGrid>
      <w:tr w:rsidR="00570FFE">
        <w:trPr>
          <w:trHeight w:val="289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7" w:firstLine="0"/>
              <w:jc w:val="center"/>
            </w:pPr>
            <w:r>
              <w:rPr>
                <w:sz w:val="24"/>
              </w:rPr>
              <w:t xml:space="preserve">Твердження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2" w:firstLine="0"/>
              <w:jc w:val="center"/>
            </w:pPr>
            <w:r>
              <w:rPr>
                <w:sz w:val="24"/>
              </w:rPr>
              <w:t xml:space="preserve">Так/ні </w:t>
            </w:r>
          </w:p>
        </w:tc>
      </w:tr>
      <w:tr w:rsidR="00570FFE">
        <w:trPr>
          <w:trHeight w:val="1387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2" w:firstLine="0"/>
            </w:pPr>
            <w:r>
              <w:rPr>
                <w:sz w:val="24"/>
              </w:rPr>
              <w:t xml:space="preserve">Грошові надходження – це сукупність надходжень коштів за надані  послуги щодо захисту майнових інтересів громадян та юридичних осіб у разі настання певних подій, а також виконання інших </w:t>
            </w:r>
            <w:r>
              <w:rPr>
                <w:sz w:val="24"/>
              </w:rPr>
              <w:t xml:space="preserve">господарських операцій у процесі операційної, фінансової й інвестиційної діяльності страхової організації за певний проміжок часу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567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</w:pPr>
            <w:r>
              <w:rPr>
                <w:sz w:val="24"/>
              </w:rPr>
              <w:t xml:space="preserve">Рух грошових коштів у результаті страхової діяльності починається з отримання грошових надходжень у вигляді страхових </w:t>
            </w:r>
            <w:r>
              <w:rPr>
                <w:sz w:val="24"/>
              </w:rPr>
              <w:t xml:space="preserve">комісій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562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rPr>
                <w:sz w:val="24"/>
              </w:rPr>
              <w:t xml:space="preserve">Страхова </w:t>
            </w:r>
            <w:r>
              <w:rPr>
                <w:sz w:val="24"/>
              </w:rPr>
              <w:tab/>
              <w:t xml:space="preserve">премія </w:t>
            </w:r>
            <w:r>
              <w:rPr>
                <w:sz w:val="24"/>
              </w:rPr>
              <w:tab/>
              <w:t xml:space="preserve">– </w:t>
            </w:r>
            <w:r>
              <w:rPr>
                <w:sz w:val="24"/>
              </w:rPr>
              <w:tab/>
              <w:t xml:space="preserve">грошова </w:t>
            </w:r>
            <w:r>
              <w:rPr>
                <w:sz w:val="24"/>
              </w:rPr>
              <w:tab/>
              <w:t xml:space="preserve">сума, </w:t>
            </w:r>
            <w:r>
              <w:rPr>
                <w:sz w:val="24"/>
              </w:rPr>
              <w:tab/>
              <w:t xml:space="preserve">яку </w:t>
            </w:r>
            <w:r>
              <w:rPr>
                <w:sz w:val="24"/>
              </w:rPr>
              <w:tab/>
              <w:t xml:space="preserve">сплачує </w:t>
            </w:r>
            <w:r>
              <w:rPr>
                <w:sz w:val="24"/>
              </w:rPr>
              <w:tab/>
              <w:t xml:space="preserve">страховик страхувальнику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1666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4" w:firstLine="0"/>
            </w:pPr>
            <w:r>
              <w:rPr>
                <w:sz w:val="24"/>
              </w:rPr>
              <w:t>Страхова діяльність – це врегульована нормами права господарська діяльність страховиків, що здійснюється на підставі ліцензії, пов’язана з наданням страхових послуг</w:t>
            </w:r>
            <w:r>
              <w:rPr>
                <w:sz w:val="24"/>
              </w:rPr>
              <w:t xml:space="preserve"> щодо захисту майнових інтересів громадян та юридичних осіб у разі настання певних подій (страхових випадків) за рахунок грошових фондів, що формуються шляхом сплати страхувальниками страхових платежів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562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</w:pPr>
            <w:r>
              <w:rPr>
                <w:sz w:val="24"/>
              </w:rPr>
              <w:lastRenderedPageBreak/>
              <w:t>Страхова премія (страховий внесок) має трьох-аспек</w:t>
            </w:r>
            <w:r>
              <w:rPr>
                <w:sz w:val="24"/>
              </w:rPr>
              <w:t xml:space="preserve">тну форму прояву: економічну, юридичну та технічну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562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</w:pPr>
            <w:r>
              <w:rPr>
                <w:sz w:val="24"/>
              </w:rPr>
              <w:t xml:space="preserve">Крім страхових премій, страхові компанії не можуть отримувати інші операційні надходження в процесі операційної діяльності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835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4" w:firstLine="0"/>
            </w:pPr>
            <w:r>
              <w:rPr>
                <w:sz w:val="24"/>
              </w:rPr>
              <w:t xml:space="preserve">Придбання і продаж необоротних активів, а також довгострокових фінансових </w:t>
            </w:r>
            <w:r>
              <w:rPr>
                <w:sz w:val="24"/>
              </w:rPr>
              <w:t xml:space="preserve">інвестицій і поточних фінансових інвестицій становить зміст інвестиційної діяльності страховика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1114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3" w:firstLine="0"/>
            </w:pPr>
            <w:r>
              <w:rPr>
                <w:sz w:val="24"/>
              </w:rPr>
              <w:t xml:space="preserve">Законодавство України надає право страховим організаціям здійснювати капітальні і фінансові інвестиції. Причому капітальні інвестиції можуть бути </w:t>
            </w:r>
            <w:r>
              <w:rPr>
                <w:sz w:val="24"/>
              </w:rPr>
              <w:t xml:space="preserve">реалізовані тільки шляхом придбання нерухомого майна.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1114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right="101" w:firstLine="0"/>
            </w:pPr>
            <w:r>
              <w:rPr>
                <w:sz w:val="24"/>
              </w:rPr>
              <w:t xml:space="preserve">Фінансова діяльність, відповідно до норм Господарського кодексу України, включає грошове та інше фінансове посередництво, страхування, а також допоміжну діяльність у сфері фінансів і страхування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566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</w:pPr>
            <w:r>
              <w:rPr>
                <w:sz w:val="24"/>
              </w:rPr>
              <w:t xml:space="preserve">Мета фінансової діяльності страховика – забезпечення його операційної та інвестиційної діяльності фінансовими ресурсами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570FFE">
        <w:trPr>
          <w:trHeight w:val="562"/>
        </w:trPr>
        <w:tc>
          <w:tcPr>
            <w:tcW w:w="7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</w:pPr>
            <w:r>
              <w:rPr>
                <w:sz w:val="24"/>
              </w:rPr>
              <w:t>Крім надходжень від страхової, інвестиційної та фінансової діяльності страхова компанія не може отримувати будь-яких інших надходже</w:t>
            </w:r>
            <w:r>
              <w:rPr>
                <w:sz w:val="24"/>
              </w:rPr>
              <w:t xml:space="preserve">нь 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0" w:right="46" w:firstLine="0"/>
              <w:jc w:val="center"/>
            </w:pPr>
            <w:r>
              <w:rPr>
                <w:sz w:val="24"/>
              </w:rPr>
              <w:t xml:space="preserve"> </w:t>
            </w:r>
          </w:p>
        </w:tc>
      </w:tr>
    </w:tbl>
    <w:p w:rsidR="00345B57" w:rsidRDefault="00345B57">
      <w:pPr>
        <w:spacing w:after="0" w:line="398" w:lineRule="auto"/>
        <w:ind w:left="0" w:firstLine="710"/>
      </w:pPr>
    </w:p>
    <w:p w:rsidR="00570FFE" w:rsidRDefault="00B92A50">
      <w:pPr>
        <w:spacing w:after="0" w:line="398" w:lineRule="auto"/>
        <w:ind w:left="0" w:firstLine="710"/>
      </w:pPr>
      <w:r w:rsidRPr="00345B57">
        <w:rPr>
          <w:b/>
          <w:color w:val="2E74B5" w:themeColor="accent1" w:themeShade="BF"/>
        </w:rPr>
        <w:t>Завдання 3.</w:t>
      </w:r>
      <w:r>
        <w:t xml:space="preserve"> Розподіліть надходження страхової компанії за видами діяльності (таблиця 3): надходження грошових коштів в результаті утворення боргових зобов’язань, не пов’язаних з операційною діяльністю; надходження у вигляді безповоротної фінансової </w:t>
      </w:r>
      <w:r>
        <w:t xml:space="preserve">допомоги та безоплатно наданих товарів (послуг); частки страхових виплат, компенсовані </w:t>
      </w:r>
      <w:proofErr w:type="spellStart"/>
      <w:r>
        <w:t>перестраховиками</w:t>
      </w:r>
      <w:proofErr w:type="spellEnd"/>
      <w:r>
        <w:t>; грошові надходження у вигляді дивідендів як результат придбання акцій або боргових зобов’язань інших підприємств; страхові премії; суми, що повертаютьс</w:t>
      </w:r>
      <w:r>
        <w:t>я із централізованих страхових резервних фондів; надходження у вигляді позитивного результату перерахунку іноземної валюти порівняно з її балансовою вартістю на кінець звітного періоду; грошові надходження від продажу нематеріальних активів; суми, що повер</w:t>
      </w:r>
      <w:r>
        <w:t xml:space="preserve">таються із страхових технічних резервів, інших, ніж резерв незаробленої премії; надходження від надання консультаційних послуг. </w:t>
      </w:r>
    </w:p>
    <w:p w:rsidR="00570FFE" w:rsidRDefault="00B92A50">
      <w:pPr>
        <w:spacing w:after="179"/>
        <w:ind w:left="710" w:firstLine="0"/>
        <w:jc w:val="left"/>
      </w:pPr>
      <w:r>
        <w:t xml:space="preserve"> </w:t>
      </w:r>
    </w:p>
    <w:p w:rsidR="00570FFE" w:rsidRDefault="00B92A50">
      <w:pPr>
        <w:spacing w:after="0"/>
        <w:ind w:left="1729" w:firstLine="6699"/>
      </w:pPr>
      <w:r>
        <w:lastRenderedPageBreak/>
        <w:t xml:space="preserve">Таблиця 3 Розподіл потоків страхової компанії за видами діяльності </w:t>
      </w:r>
    </w:p>
    <w:tbl>
      <w:tblPr>
        <w:tblStyle w:val="TableGrid"/>
        <w:tblW w:w="9858" w:type="dxa"/>
        <w:tblInd w:w="-110" w:type="dxa"/>
        <w:tblCellMar>
          <w:top w:w="1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93"/>
        <w:gridCol w:w="2679"/>
        <w:gridCol w:w="2535"/>
        <w:gridCol w:w="2051"/>
      </w:tblGrid>
      <w:tr w:rsidR="00570FFE">
        <w:trPr>
          <w:trHeight w:val="56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 xml:space="preserve">операційна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3" w:firstLine="0"/>
              <w:jc w:val="center"/>
            </w:pPr>
            <w:r>
              <w:rPr>
                <w:sz w:val="24"/>
              </w:rPr>
              <w:t xml:space="preserve">інвестиційна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FFE" w:rsidRDefault="00B92A50">
            <w:pPr>
              <w:spacing w:after="0"/>
              <w:ind w:left="4" w:firstLine="0"/>
              <w:jc w:val="center"/>
            </w:pPr>
            <w:r>
              <w:rPr>
                <w:sz w:val="24"/>
              </w:rPr>
              <w:t xml:space="preserve">фінансова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18" w:firstLine="0"/>
              <w:jc w:val="center"/>
            </w:pPr>
            <w:r>
              <w:rPr>
                <w:sz w:val="24"/>
              </w:rPr>
              <w:t xml:space="preserve">інші надходження </w:t>
            </w:r>
          </w:p>
        </w:tc>
      </w:tr>
      <w:tr w:rsidR="00570FFE">
        <w:trPr>
          <w:trHeight w:val="33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  <w:tr w:rsidR="00570FFE">
        <w:trPr>
          <w:trHeight w:val="331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70FFE" w:rsidRDefault="00B92A50">
            <w:pPr>
              <w:spacing w:after="0"/>
              <w:ind w:left="0" w:firstLine="0"/>
              <w:jc w:val="left"/>
            </w:pPr>
            <w:r>
              <w:t xml:space="preserve"> </w:t>
            </w:r>
          </w:p>
        </w:tc>
      </w:tr>
    </w:tbl>
    <w:p w:rsidR="00570FFE" w:rsidRDefault="00B92A50">
      <w:pPr>
        <w:spacing w:after="179"/>
        <w:ind w:left="710" w:firstLine="0"/>
        <w:jc w:val="left"/>
      </w:pPr>
      <w:r>
        <w:t xml:space="preserve"> </w:t>
      </w:r>
    </w:p>
    <w:p w:rsidR="00570FFE" w:rsidRDefault="00B92A50">
      <w:pPr>
        <w:ind w:left="705"/>
      </w:pPr>
      <w:bookmarkStart w:id="0" w:name="_GoBack"/>
      <w:r w:rsidRPr="00345B57">
        <w:rPr>
          <w:color w:val="2E74B5" w:themeColor="accent1" w:themeShade="BF"/>
        </w:rPr>
        <w:t>Завдання 4.</w:t>
      </w:r>
      <w:bookmarkEnd w:id="0"/>
      <w:r>
        <w:t xml:space="preserve"> Страхова компанія має такі звітні дані (тис. грн.):  </w:t>
      </w:r>
    </w:p>
    <w:p w:rsidR="00570FFE" w:rsidRDefault="00B92A50">
      <w:pPr>
        <w:numPr>
          <w:ilvl w:val="0"/>
          <w:numId w:val="1"/>
        </w:numPr>
        <w:ind w:firstLine="710"/>
      </w:pPr>
      <w:r>
        <w:t xml:space="preserve">комісійні винагороди за передачу ризиків у перестрахування – 25,5; </w:t>
      </w:r>
    </w:p>
    <w:p w:rsidR="00570FFE" w:rsidRDefault="00B92A50">
      <w:pPr>
        <w:numPr>
          <w:ilvl w:val="0"/>
          <w:numId w:val="1"/>
        </w:numPr>
        <w:ind w:firstLine="710"/>
      </w:pPr>
      <w:r>
        <w:t xml:space="preserve">страхові премії – 272,9;  </w:t>
      </w:r>
    </w:p>
    <w:p w:rsidR="00570FFE" w:rsidRDefault="00B92A50">
      <w:pPr>
        <w:numPr>
          <w:ilvl w:val="0"/>
          <w:numId w:val="1"/>
        </w:numPr>
        <w:spacing w:after="0" w:line="396" w:lineRule="auto"/>
        <w:ind w:firstLine="710"/>
      </w:pPr>
      <w:r>
        <w:t xml:space="preserve">надходження у вигляді позитивного результату перерахунку іноземної валюти </w:t>
      </w:r>
      <w:r>
        <w:t xml:space="preserve">порівняно з її балансовою вартістю на кінець звітного періоду – 5,6;  </w:t>
      </w:r>
    </w:p>
    <w:p w:rsidR="00570FFE" w:rsidRDefault="00B92A50">
      <w:pPr>
        <w:numPr>
          <w:ilvl w:val="0"/>
          <w:numId w:val="1"/>
        </w:numPr>
        <w:ind w:firstLine="710"/>
      </w:pPr>
      <w:r>
        <w:t xml:space="preserve">грошових коштів від розміщення акцій – 11;  </w:t>
      </w:r>
    </w:p>
    <w:p w:rsidR="00570FFE" w:rsidRDefault="00B92A50">
      <w:pPr>
        <w:numPr>
          <w:ilvl w:val="0"/>
          <w:numId w:val="1"/>
        </w:numPr>
        <w:ind w:firstLine="710"/>
      </w:pPr>
      <w:r>
        <w:t xml:space="preserve">надходження від здавання майна в оренду – 65,5;  </w:t>
      </w:r>
    </w:p>
    <w:p w:rsidR="00570FFE" w:rsidRDefault="00B92A50">
      <w:pPr>
        <w:numPr>
          <w:ilvl w:val="0"/>
          <w:numId w:val="1"/>
        </w:numPr>
        <w:spacing w:after="5" w:line="393" w:lineRule="auto"/>
        <w:ind w:firstLine="710"/>
      </w:pPr>
      <w:r>
        <w:t>суми, що повертаються із страхових технічних резервів, інших, ніж резерв незаробленої прем</w:t>
      </w:r>
      <w:r>
        <w:t xml:space="preserve">ії – 15,2;  </w:t>
      </w:r>
    </w:p>
    <w:p w:rsidR="00570FFE" w:rsidRDefault="00B92A50">
      <w:pPr>
        <w:numPr>
          <w:ilvl w:val="0"/>
          <w:numId w:val="1"/>
        </w:numPr>
        <w:ind w:firstLine="710"/>
      </w:pPr>
      <w:r>
        <w:t xml:space="preserve">надходження від надання консультаційних послуг – 34,8;  </w:t>
      </w:r>
    </w:p>
    <w:p w:rsidR="00570FFE" w:rsidRDefault="00B92A50">
      <w:pPr>
        <w:numPr>
          <w:ilvl w:val="0"/>
          <w:numId w:val="1"/>
        </w:numPr>
        <w:ind w:firstLine="710"/>
      </w:pPr>
      <w:r>
        <w:t xml:space="preserve">грошові надходження у вигляді дивідендів – 1,3;  </w:t>
      </w:r>
    </w:p>
    <w:p w:rsidR="00570FFE" w:rsidRDefault="00B92A50">
      <w:pPr>
        <w:numPr>
          <w:ilvl w:val="0"/>
          <w:numId w:val="1"/>
        </w:numPr>
        <w:spacing w:after="20" w:line="390" w:lineRule="auto"/>
        <w:ind w:firstLine="710"/>
      </w:pPr>
      <w:r>
        <w:t>грошові надходження від продажу основних засобів – 4,3;  10)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надходження у вигляді штрафів – 1,3. </w:t>
      </w:r>
    </w:p>
    <w:p w:rsidR="00570FFE" w:rsidRDefault="00B92A50">
      <w:pPr>
        <w:spacing w:after="0" w:line="399" w:lineRule="auto"/>
        <w:ind w:left="0" w:firstLine="710"/>
      </w:pPr>
      <w:r>
        <w:t xml:space="preserve">Визначити суму надходжень від </w:t>
      </w:r>
      <w:r>
        <w:t xml:space="preserve">операційної (страхової), інвестиційної, фінансової </w:t>
      </w:r>
      <w:proofErr w:type="spellStart"/>
      <w:r>
        <w:t>діяльностей</w:t>
      </w:r>
      <w:proofErr w:type="spellEnd"/>
      <w:r>
        <w:t xml:space="preserve"> та суму інших надходжень страхової компанії. </w:t>
      </w:r>
    </w:p>
    <w:p w:rsidR="00570FFE" w:rsidRDefault="00B92A50">
      <w:pPr>
        <w:spacing w:after="186"/>
        <w:ind w:left="710" w:firstLine="0"/>
        <w:jc w:val="left"/>
      </w:pPr>
      <w:r>
        <w:t xml:space="preserve"> </w:t>
      </w:r>
    </w:p>
    <w:p w:rsidR="00570FFE" w:rsidRDefault="00B92A50">
      <w:pPr>
        <w:ind w:left="705"/>
      </w:pPr>
      <w:r>
        <w:t xml:space="preserve">Завдання 5. Визначить суму надходжень страхової компанії за видами </w:t>
      </w:r>
    </w:p>
    <w:p w:rsidR="00570FFE" w:rsidRDefault="00B92A50">
      <w:pPr>
        <w:ind w:left="10"/>
      </w:pPr>
      <w:r>
        <w:t xml:space="preserve">діяльності (тис. грн.): </w:t>
      </w:r>
    </w:p>
    <w:p w:rsidR="00570FFE" w:rsidRDefault="00B92A50">
      <w:pPr>
        <w:numPr>
          <w:ilvl w:val="0"/>
          <w:numId w:val="2"/>
        </w:numPr>
        <w:ind w:hanging="284"/>
      </w:pPr>
      <w:r>
        <w:t xml:space="preserve">грошові надходження від продажу акцій –5,5; </w:t>
      </w:r>
    </w:p>
    <w:p w:rsidR="00570FFE" w:rsidRDefault="00B92A50">
      <w:pPr>
        <w:numPr>
          <w:ilvl w:val="0"/>
          <w:numId w:val="2"/>
        </w:numPr>
        <w:ind w:hanging="284"/>
      </w:pPr>
      <w:r>
        <w:t>суми, щ</w:t>
      </w:r>
      <w:r>
        <w:t xml:space="preserve">о повертаються з резервів із страхування життя – 480,1;  </w:t>
      </w:r>
    </w:p>
    <w:p w:rsidR="00570FFE" w:rsidRDefault="00B92A50">
      <w:pPr>
        <w:numPr>
          <w:ilvl w:val="0"/>
          <w:numId w:val="2"/>
        </w:numPr>
        <w:spacing w:after="7" w:line="395" w:lineRule="auto"/>
        <w:ind w:hanging="284"/>
      </w:pPr>
      <w:r>
        <w:lastRenderedPageBreak/>
        <w:t xml:space="preserve">надходження грошових коштів в результаті утворення боргових зобов’язань, не пов’язаних з операційною діяльністю – 15,6;  </w:t>
      </w:r>
    </w:p>
    <w:p w:rsidR="00570FFE" w:rsidRDefault="00B92A50">
      <w:pPr>
        <w:numPr>
          <w:ilvl w:val="0"/>
          <w:numId w:val="2"/>
        </w:numPr>
        <w:spacing w:after="132"/>
        <w:ind w:hanging="284"/>
      </w:pPr>
      <w:r>
        <w:t xml:space="preserve">суми, що повертаються із централізованих страхових резервних фондів – </w:t>
      </w:r>
    </w:p>
    <w:p w:rsidR="00570FFE" w:rsidRDefault="00B92A50">
      <w:pPr>
        <w:ind w:left="10"/>
      </w:pPr>
      <w:r>
        <w:t xml:space="preserve">7;  </w:t>
      </w:r>
    </w:p>
    <w:p w:rsidR="00570FFE" w:rsidRDefault="00B92A50">
      <w:pPr>
        <w:numPr>
          <w:ilvl w:val="0"/>
          <w:numId w:val="2"/>
        </w:numPr>
        <w:ind w:hanging="284"/>
      </w:pPr>
      <w:r>
        <w:t xml:space="preserve">грошові надходження від продажу нематеріальних активів – 1,5;  </w:t>
      </w:r>
    </w:p>
    <w:p w:rsidR="00570FFE" w:rsidRDefault="00B92A50">
      <w:pPr>
        <w:numPr>
          <w:ilvl w:val="0"/>
          <w:numId w:val="2"/>
        </w:numPr>
        <w:ind w:hanging="284"/>
      </w:pPr>
      <w:r>
        <w:t xml:space="preserve">надходження від надання консультаційних послуг – 1,2;  </w:t>
      </w:r>
    </w:p>
    <w:p w:rsidR="00570FFE" w:rsidRDefault="00B92A50">
      <w:pPr>
        <w:numPr>
          <w:ilvl w:val="0"/>
          <w:numId w:val="2"/>
        </w:numPr>
        <w:spacing w:after="0" w:line="389" w:lineRule="auto"/>
        <w:ind w:hanging="284"/>
      </w:pPr>
      <w:r>
        <w:t xml:space="preserve">частки страхових виплат, компенсовані </w:t>
      </w:r>
      <w:proofErr w:type="spellStart"/>
      <w:r>
        <w:t>перестраховиками</w:t>
      </w:r>
      <w:proofErr w:type="spellEnd"/>
      <w:r>
        <w:t xml:space="preserve"> – 74,8;  8)</w:t>
      </w:r>
      <w:r>
        <w:rPr>
          <w:rFonts w:ascii="Arial" w:eastAsia="Arial" w:hAnsi="Arial" w:cs="Arial"/>
        </w:rPr>
        <w:t xml:space="preserve"> </w:t>
      </w:r>
      <w:r>
        <w:t xml:space="preserve">страхова премія – 657,3. </w:t>
      </w:r>
    </w:p>
    <w:p w:rsidR="00570FFE" w:rsidRDefault="00B92A50">
      <w:pPr>
        <w:spacing w:after="0"/>
        <w:ind w:left="710" w:firstLine="0"/>
        <w:jc w:val="left"/>
      </w:pPr>
      <w:r>
        <w:t xml:space="preserve"> </w:t>
      </w:r>
    </w:p>
    <w:sectPr w:rsidR="00570FFE">
      <w:footerReference w:type="even" r:id="rId7"/>
      <w:footerReference w:type="default" r:id="rId8"/>
      <w:footerReference w:type="first" r:id="rId9"/>
      <w:pgSz w:w="11904" w:h="16838"/>
      <w:pgMar w:top="1183" w:right="1128" w:bottom="1402" w:left="1133" w:header="708" w:footer="711" w:gutter="0"/>
      <w:pgNumType w:start="5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A50" w:rsidRDefault="00B92A50">
      <w:pPr>
        <w:spacing w:after="0" w:line="240" w:lineRule="auto"/>
      </w:pPr>
      <w:r>
        <w:separator/>
      </w:r>
    </w:p>
  </w:endnote>
  <w:endnote w:type="continuationSeparator" w:id="0">
    <w:p w:rsidR="00B92A50" w:rsidRDefault="00B9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FE" w:rsidRDefault="00B92A50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FE" w:rsidRDefault="00B92A50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B57" w:rsidRPr="00345B57">
      <w:rPr>
        <w:noProof/>
        <w:sz w:val="24"/>
      </w:rPr>
      <w:t>55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FFE" w:rsidRDefault="00B92A50">
    <w:pPr>
      <w:spacing w:after="0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53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A50" w:rsidRDefault="00B92A50">
      <w:pPr>
        <w:spacing w:after="0" w:line="240" w:lineRule="auto"/>
      </w:pPr>
      <w:r>
        <w:separator/>
      </w:r>
    </w:p>
  </w:footnote>
  <w:footnote w:type="continuationSeparator" w:id="0">
    <w:p w:rsidR="00B92A50" w:rsidRDefault="00B9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D4E96"/>
    <w:multiLevelType w:val="hybridMultilevel"/>
    <w:tmpl w:val="139CA948"/>
    <w:lvl w:ilvl="0" w:tplc="B98481A4">
      <w:start w:val="1"/>
      <w:numFmt w:val="decimal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A49F6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E07CA6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FAB80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4313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CE0BA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CBEC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7C90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B46E24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2D0875"/>
    <w:multiLevelType w:val="hybridMultilevel"/>
    <w:tmpl w:val="66206FA0"/>
    <w:lvl w:ilvl="0" w:tplc="E244CE14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CA77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6070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CC9C0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0CA1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4A28C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A6513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F891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A0FE1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FFE"/>
    <w:rsid w:val="002758B0"/>
    <w:rsid w:val="00345B57"/>
    <w:rsid w:val="00570FFE"/>
    <w:rsid w:val="00B9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F352"/>
  <w15:docId w15:val="{2F0EC19D-7E99-4F50-A0A8-EF00F2F4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3"/>
      <w:ind w:left="173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3522</Words>
  <Characters>2008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3</cp:revision>
  <dcterms:created xsi:type="dcterms:W3CDTF">2025-04-09T11:44:00Z</dcterms:created>
  <dcterms:modified xsi:type="dcterms:W3CDTF">2025-04-09T11:52:00Z</dcterms:modified>
</cp:coreProperties>
</file>