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DA" w:rsidRPr="007B347A" w:rsidRDefault="00F84DDA" w:rsidP="00F84DDA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6 </w:t>
      </w:r>
      <w:r w:rsidRPr="007B347A">
        <w:rPr>
          <w:rFonts w:ascii="Times New Roman" w:hAnsi="Times New Roman" w:cs="Times New Roman"/>
        </w:rPr>
        <w:t>Методичне</w:t>
      </w:r>
      <w:r w:rsidRPr="00087685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забезпечення</w:t>
      </w:r>
      <w:r w:rsidRPr="00087685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діагностики</w:t>
      </w:r>
      <w:r w:rsidRPr="00087685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кризового</w:t>
      </w:r>
      <w:r w:rsidRPr="00087685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 xml:space="preserve">стану </w:t>
      </w:r>
      <w:r w:rsidRPr="00087685">
        <w:rPr>
          <w:rFonts w:ascii="Times New Roman" w:hAnsi="Times New Roman" w:cs="Times New Roman"/>
        </w:rPr>
        <w:t>підприємства</w:t>
      </w:r>
    </w:p>
    <w:p w:rsidR="00F84DDA" w:rsidRDefault="00F84DDA" w:rsidP="00F84DDA">
      <w:pPr>
        <w:pStyle w:val="3"/>
        <w:ind w:left="841"/>
        <w:rPr>
          <w:rFonts w:ascii="Times New Roman" w:hAnsi="Times New Roman" w:cs="Times New Roman"/>
          <w:spacing w:val="-2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F84DDA" w:rsidRPr="007B347A" w:rsidRDefault="00F84DDA" w:rsidP="00F84DDA">
      <w:pPr>
        <w:pStyle w:val="3"/>
        <w:ind w:left="841"/>
        <w:rPr>
          <w:rFonts w:ascii="Times New Roman" w:hAnsi="Times New Roman" w:cs="Times New Roman"/>
        </w:rPr>
      </w:pPr>
    </w:p>
    <w:p w:rsidR="00F84DDA" w:rsidRPr="006733F4" w:rsidRDefault="00F84DDA" w:rsidP="00F84DDA">
      <w:pPr>
        <w:tabs>
          <w:tab w:val="left" w:pos="1351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6"/>
          <w:sz w:val="28"/>
        </w:rPr>
        <w:t>6.1. </w:t>
      </w:r>
      <w:r w:rsidRPr="006733F4">
        <w:rPr>
          <w:rFonts w:ascii="Times New Roman" w:hAnsi="Times New Roman" w:cs="Times New Roman"/>
          <w:i/>
          <w:spacing w:val="-6"/>
          <w:sz w:val="28"/>
        </w:rPr>
        <w:t>Методичний</w:t>
      </w:r>
      <w:r w:rsidRPr="006733F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підхід</w:t>
      </w:r>
      <w:r w:rsidRPr="006733F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до</w:t>
      </w:r>
      <w:r w:rsidRPr="006733F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оцінювання глибини</w:t>
      </w:r>
      <w:r w:rsidRPr="006733F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кризи</w:t>
      </w:r>
      <w:r w:rsidRPr="006733F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на</w:t>
      </w:r>
      <w:r w:rsidRPr="006733F4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6"/>
          <w:sz w:val="28"/>
        </w:rPr>
        <w:t>підприємстві.</w:t>
      </w:r>
    </w:p>
    <w:p w:rsidR="00F84DDA" w:rsidRPr="006733F4" w:rsidRDefault="00F84DDA" w:rsidP="00F84DDA">
      <w:pPr>
        <w:tabs>
          <w:tab w:val="left" w:pos="1381"/>
        </w:tabs>
        <w:spacing w:before="64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6.2. </w:t>
      </w:r>
      <w:r w:rsidRPr="006733F4">
        <w:rPr>
          <w:rFonts w:ascii="Times New Roman" w:hAnsi="Times New Roman" w:cs="Times New Roman"/>
          <w:i/>
          <w:sz w:val="28"/>
        </w:rPr>
        <w:t>Матрична</w:t>
      </w:r>
      <w:r w:rsidRPr="006733F4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z w:val="28"/>
        </w:rPr>
        <w:t>модель</w:t>
      </w:r>
      <w:r w:rsidRPr="006733F4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z w:val="28"/>
        </w:rPr>
        <w:t>вибору</w:t>
      </w:r>
      <w:r w:rsidRPr="006733F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z w:val="28"/>
        </w:rPr>
        <w:t>санаційної</w:t>
      </w:r>
      <w:r w:rsidRPr="006733F4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z w:val="28"/>
        </w:rPr>
        <w:t>стратегії</w:t>
      </w:r>
      <w:r w:rsidRPr="006733F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6733F4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F84DDA" w:rsidRPr="007B347A" w:rsidRDefault="00F84DDA" w:rsidP="00F84DDA">
      <w:pPr>
        <w:pStyle w:val="a3"/>
        <w:spacing w:before="127"/>
        <w:ind w:left="0"/>
        <w:rPr>
          <w:rFonts w:ascii="Times New Roman" w:hAnsi="Times New Roman" w:cs="Times New Roman"/>
          <w:i/>
        </w:rPr>
      </w:pPr>
    </w:p>
    <w:p w:rsidR="00F84DDA" w:rsidRPr="007B347A" w:rsidRDefault="00F84DDA" w:rsidP="00F84DDA">
      <w:pPr>
        <w:pStyle w:val="3"/>
        <w:ind w:right="47"/>
        <w:jc w:val="center"/>
        <w:rPr>
          <w:rFonts w:ascii="Times New Roman" w:hAnsi="Times New Roman" w:cs="Times New Roman"/>
        </w:rPr>
      </w:pPr>
      <w:bookmarkStart w:id="0" w:name="_bookmark28"/>
      <w:bookmarkEnd w:id="0"/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F84DDA" w:rsidRPr="007B347A" w:rsidRDefault="00F84DDA" w:rsidP="00F84DDA">
      <w:pPr>
        <w:pStyle w:val="a3"/>
        <w:spacing w:before="110"/>
        <w:ind w:left="0"/>
        <w:rPr>
          <w:rFonts w:ascii="Times New Roman" w:hAnsi="Times New Roman" w:cs="Times New Roman"/>
          <w:b/>
        </w:rPr>
      </w:pP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70"/>
        </w:tabs>
        <w:spacing w:line="280" w:lineRule="auto"/>
        <w:ind w:right="170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Які джерела містять інформацію щодо показників, доцільних для діагностики кризи на підприємстві?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201"/>
        </w:tabs>
        <w:spacing w:line="280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Обґрунтуйте,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чому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показники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аналізу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доцільно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ви- </w:t>
      </w:r>
      <w:proofErr w:type="spellStart"/>
      <w:r w:rsidRPr="007B347A">
        <w:rPr>
          <w:rFonts w:ascii="Times New Roman" w:hAnsi="Times New Roman" w:cs="Times New Roman"/>
          <w:sz w:val="28"/>
        </w:rPr>
        <w:t>користовувати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в процесі діагностики кризових явищ.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62"/>
        </w:tabs>
        <w:spacing w:line="280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Укажіть, які групи фінансових показників є пріоритетними для до- слідження рівня кризи на підприємстві.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71"/>
        </w:tabs>
        <w:spacing w:before="1" w:line="280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класи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кризи,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що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відображають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глибину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розвитку кризових явищ у діяльності суб'єкта господарювання.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79"/>
        </w:tabs>
        <w:spacing w:line="283" w:lineRule="auto"/>
        <w:ind w:right="175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Доведіть доцільність застосування матричного методу в процесі вибору санаційної стратегії підприємства.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65"/>
        </w:tabs>
        <w:spacing w:line="280" w:lineRule="auto"/>
        <w:ind w:right="168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Які характеристики зовнішнього середовища підприємства </w:t>
      </w:r>
      <w:proofErr w:type="spellStart"/>
      <w:r w:rsidRPr="007B347A">
        <w:rPr>
          <w:rFonts w:ascii="Times New Roman" w:hAnsi="Times New Roman" w:cs="Times New Roman"/>
          <w:sz w:val="28"/>
        </w:rPr>
        <w:t>відоб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ражають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наявність і доступність у ньому джерел фінансування санації?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53"/>
        </w:tabs>
        <w:spacing w:line="280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види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станів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зовнішнього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середовища,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що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засто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совують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для побудови матриці санаційних стратегій.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54"/>
        </w:tabs>
        <w:ind w:left="1154" w:hanging="313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характеристику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типам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санаційних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стратегій.</w:t>
      </w:r>
    </w:p>
    <w:p w:rsidR="00F84DDA" w:rsidRPr="007B347A" w:rsidRDefault="00F84DDA" w:rsidP="00F84DDA">
      <w:pPr>
        <w:pStyle w:val="a5"/>
        <w:numPr>
          <w:ilvl w:val="0"/>
          <w:numId w:val="21"/>
        </w:numPr>
        <w:tabs>
          <w:tab w:val="left" w:pos="1164"/>
        </w:tabs>
        <w:spacing w:before="52" w:line="280" w:lineRule="auto"/>
        <w:ind w:right="168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економічну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складових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матриці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сана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ційних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стратегій підприємства.</w:t>
      </w:r>
    </w:p>
    <w:p w:rsidR="00F84DDA" w:rsidRPr="007B347A" w:rsidRDefault="00F84DDA" w:rsidP="00F84DDA">
      <w:pPr>
        <w:pStyle w:val="a3"/>
        <w:spacing w:before="55"/>
        <w:ind w:left="0"/>
        <w:rPr>
          <w:rFonts w:ascii="Times New Roman" w:hAnsi="Times New Roman" w:cs="Times New Roman"/>
        </w:rPr>
      </w:pPr>
    </w:p>
    <w:p w:rsidR="00F84DDA" w:rsidRPr="007B347A" w:rsidRDefault="00F84DDA" w:rsidP="00F84DDA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F84DDA" w:rsidRPr="007B347A" w:rsidRDefault="00F84DDA" w:rsidP="00F84DDA">
      <w:pPr>
        <w:pStyle w:val="a3"/>
        <w:spacing w:before="109"/>
        <w:ind w:left="0"/>
        <w:rPr>
          <w:rFonts w:ascii="Times New Roman" w:hAnsi="Times New Roman" w:cs="Times New Roman"/>
          <w:b/>
        </w:rPr>
      </w:pPr>
    </w:p>
    <w:p w:rsidR="00F84DDA" w:rsidRPr="007B347A" w:rsidRDefault="00F84DDA" w:rsidP="00F84DDA">
      <w:pPr>
        <w:pStyle w:val="a3"/>
        <w:spacing w:before="1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6.1. </w:t>
      </w:r>
      <w:r w:rsidRPr="007B347A">
        <w:rPr>
          <w:rFonts w:ascii="Times New Roman" w:hAnsi="Times New Roman" w:cs="Times New Roman"/>
        </w:rPr>
        <w:t>За даними фінансової звітності [</w:t>
      </w:r>
      <w:hyperlink w:anchor="_bookmark203" w:history="1">
        <w:r w:rsidRPr="007B347A">
          <w:rPr>
            <w:rFonts w:ascii="Times New Roman" w:hAnsi="Times New Roman" w:cs="Times New Roman"/>
          </w:rPr>
          <w:t>135</w:t>
        </w:r>
      </w:hyperlink>
      <w:r w:rsidRPr="007B347A">
        <w:rPr>
          <w:rFonts w:ascii="Times New Roman" w:hAnsi="Times New Roman" w:cs="Times New Roman"/>
        </w:rPr>
        <w:t xml:space="preserve">] проведіть пози- </w:t>
      </w:r>
      <w:proofErr w:type="spellStart"/>
      <w:r w:rsidRPr="007B347A">
        <w:rPr>
          <w:rFonts w:ascii="Times New Roman" w:hAnsi="Times New Roman" w:cs="Times New Roman"/>
        </w:rPr>
        <w:t>ціонування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у матриці санаційних стратегій. Проведіть від- повідні розрахунки та дослідження. Отриманий результат зобразіть гра- </w:t>
      </w:r>
      <w:proofErr w:type="spellStart"/>
      <w:r w:rsidRPr="007B347A">
        <w:rPr>
          <w:rFonts w:ascii="Times New Roman" w:hAnsi="Times New Roman" w:cs="Times New Roman"/>
        </w:rPr>
        <w:t>фічно</w:t>
      </w:r>
      <w:proofErr w:type="spellEnd"/>
      <w:r w:rsidRPr="007B347A">
        <w:rPr>
          <w:rFonts w:ascii="Times New Roman" w:hAnsi="Times New Roman" w:cs="Times New Roman"/>
        </w:rPr>
        <w:t>; надайте рекомендації щодо вибору санаційної стратегії.</w:t>
      </w:r>
    </w:p>
    <w:p w:rsidR="00AA19C6" w:rsidRPr="00F04A3B" w:rsidRDefault="00AA19C6" w:rsidP="00F84DDA">
      <w:pPr>
        <w:pStyle w:val="3"/>
        <w:tabs>
          <w:tab w:val="left" w:pos="1769"/>
          <w:tab w:val="left" w:pos="3829"/>
        </w:tabs>
        <w:spacing w:line="288" w:lineRule="auto"/>
        <w:ind w:left="1226" w:right="1266"/>
      </w:pPr>
      <w:bookmarkStart w:id="1" w:name="_GoBack"/>
      <w:bookmarkEnd w:id="1"/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90" w:rsidRDefault="00C11690">
      <w:r>
        <w:separator/>
      </w:r>
    </w:p>
  </w:endnote>
  <w:endnote w:type="continuationSeparator" w:id="0">
    <w:p w:rsidR="00C11690" w:rsidRDefault="00C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90" w:rsidRDefault="00C11690">
      <w:r>
        <w:separator/>
      </w:r>
    </w:p>
  </w:footnote>
  <w:footnote w:type="continuationSeparator" w:id="0">
    <w:p w:rsidR="00C11690" w:rsidRDefault="00C1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8544C"/>
    <w:rsid w:val="000A3FCD"/>
    <w:rsid w:val="001F0BCD"/>
    <w:rsid w:val="001F3097"/>
    <w:rsid w:val="00204988"/>
    <w:rsid w:val="00254A47"/>
    <w:rsid w:val="003B6E32"/>
    <w:rsid w:val="003D381B"/>
    <w:rsid w:val="00540701"/>
    <w:rsid w:val="00552C63"/>
    <w:rsid w:val="00593C9F"/>
    <w:rsid w:val="005E4802"/>
    <w:rsid w:val="006534CB"/>
    <w:rsid w:val="006751B9"/>
    <w:rsid w:val="00694F30"/>
    <w:rsid w:val="006A5D5F"/>
    <w:rsid w:val="006B3448"/>
    <w:rsid w:val="00704A70"/>
    <w:rsid w:val="0074137E"/>
    <w:rsid w:val="00786B61"/>
    <w:rsid w:val="007A0814"/>
    <w:rsid w:val="008F02F5"/>
    <w:rsid w:val="0095727A"/>
    <w:rsid w:val="00976DCB"/>
    <w:rsid w:val="00A0682A"/>
    <w:rsid w:val="00AA19C6"/>
    <w:rsid w:val="00B446AB"/>
    <w:rsid w:val="00B4599F"/>
    <w:rsid w:val="00B646CF"/>
    <w:rsid w:val="00B93BF4"/>
    <w:rsid w:val="00C020F5"/>
    <w:rsid w:val="00C11690"/>
    <w:rsid w:val="00CD58C2"/>
    <w:rsid w:val="00D9241E"/>
    <w:rsid w:val="00DB5860"/>
    <w:rsid w:val="00DD71D1"/>
    <w:rsid w:val="00F04A3B"/>
    <w:rsid w:val="00F36EFA"/>
    <w:rsid w:val="00F84DDA"/>
    <w:rsid w:val="00FA1E1C"/>
    <w:rsid w:val="00FA619B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0F4F-77EC-421B-90B0-F174959B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2025-02-12T14:11:00Z</dcterms:created>
  <dcterms:modified xsi:type="dcterms:W3CDTF">2025-02-12T14:11:00Z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