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F00" w:rsidRPr="008E34A1" w:rsidRDefault="00991F00" w:rsidP="00991F00">
      <w:pPr>
        <w:rPr>
          <w:b/>
          <w:i/>
          <w:sz w:val="28"/>
          <w:szCs w:val="28"/>
        </w:rPr>
      </w:pPr>
      <w:r w:rsidRPr="008E34A1">
        <w:rPr>
          <w:b/>
          <w:i/>
          <w:sz w:val="28"/>
          <w:szCs w:val="28"/>
        </w:rPr>
        <w:t>Тема 2: «Типи освітніх середовищ: класифікація та приклади».</w:t>
      </w:r>
    </w:p>
    <w:p w:rsidR="00991F00" w:rsidRPr="008E34A1" w:rsidRDefault="00991F00" w:rsidP="00991F00">
      <w:pPr>
        <w:rPr>
          <w:b/>
          <w:i/>
          <w:sz w:val="28"/>
          <w:szCs w:val="28"/>
        </w:rPr>
      </w:pPr>
    </w:p>
    <w:p w:rsidR="00991F00" w:rsidRPr="008E34A1" w:rsidRDefault="00991F00" w:rsidP="00991F00">
      <w:pPr>
        <w:rPr>
          <w:b/>
          <w:i/>
          <w:sz w:val="28"/>
          <w:szCs w:val="28"/>
        </w:rPr>
      </w:pPr>
      <w:r w:rsidRPr="008E34A1">
        <w:rPr>
          <w:rFonts w:ascii="Segoe UI Symbol" w:hAnsi="Segoe UI Symbol" w:cs="Segoe UI Symbol"/>
          <w:b/>
          <w:i/>
          <w:sz w:val="28"/>
          <w:szCs w:val="28"/>
        </w:rPr>
        <w:t>✅</w:t>
      </w:r>
      <w:r w:rsidRPr="008E34A1">
        <w:rPr>
          <w:b/>
          <w:i/>
          <w:sz w:val="28"/>
          <w:szCs w:val="28"/>
        </w:rPr>
        <w:t xml:space="preserve"> </w:t>
      </w:r>
      <w:r w:rsidRPr="008E34A1">
        <w:rPr>
          <w:rFonts w:cs="Times New Roman"/>
          <w:b/>
          <w:i/>
          <w:sz w:val="28"/>
          <w:szCs w:val="28"/>
        </w:rPr>
        <w:t>Мета</w:t>
      </w:r>
      <w:r w:rsidRPr="008E34A1">
        <w:rPr>
          <w:b/>
          <w:i/>
          <w:sz w:val="28"/>
          <w:szCs w:val="28"/>
        </w:rPr>
        <w:t xml:space="preserve"> </w:t>
      </w:r>
      <w:r w:rsidRPr="008E34A1">
        <w:rPr>
          <w:rFonts w:cs="Times New Roman"/>
          <w:b/>
          <w:i/>
          <w:sz w:val="28"/>
          <w:szCs w:val="28"/>
        </w:rPr>
        <w:t>лекції</w:t>
      </w:r>
      <w:r w:rsidRPr="008E34A1">
        <w:rPr>
          <w:b/>
          <w:i/>
          <w:sz w:val="28"/>
          <w:szCs w:val="28"/>
        </w:rPr>
        <w:t>:</w:t>
      </w:r>
    </w:p>
    <w:p w:rsidR="00991F00" w:rsidRPr="008E34A1" w:rsidRDefault="00991F00" w:rsidP="00991F00">
      <w:pPr>
        <w:rPr>
          <w:b/>
          <w:i/>
          <w:sz w:val="28"/>
          <w:szCs w:val="28"/>
        </w:rPr>
      </w:pPr>
    </w:p>
    <w:p w:rsidR="00991F00" w:rsidRDefault="00991F00" w:rsidP="00991F00">
      <w:r>
        <w:t>Сформувати у слухачів уявлення про різноманіття типів освітніх середовищ, ознайомити з їх класифікацією, характеристиками та прикладами; розкрити сутність навчального, позаурочного, позашкільного та інформаційно-освітнього середовищ; сформувати навички аналізу типів освітнього середовища на прикладі конкретного закладу освіти.</w:t>
      </w:r>
    </w:p>
    <w:p w:rsidR="00991F00" w:rsidRDefault="00991F00" w:rsidP="00991F00"/>
    <w:p w:rsidR="00991F00" w:rsidRPr="008E34A1" w:rsidRDefault="00991F00" w:rsidP="008E34A1">
      <w:pPr>
        <w:spacing w:line="360" w:lineRule="auto"/>
        <w:rPr>
          <w:sz w:val="28"/>
          <w:szCs w:val="28"/>
        </w:rPr>
      </w:pPr>
      <w:r w:rsidRPr="008E34A1">
        <w:rPr>
          <w:rFonts w:ascii="Segoe UI Symbol" w:hAnsi="Segoe UI Symbol" w:cs="Segoe UI Symbol"/>
          <w:sz w:val="28"/>
          <w:szCs w:val="28"/>
        </w:rPr>
        <w:t>📚</w:t>
      </w:r>
      <w:r w:rsidRPr="008E34A1">
        <w:rPr>
          <w:sz w:val="28"/>
          <w:szCs w:val="28"/>
        </w:rPr>
        <w:t xml:space="preserve"> План лекції:</w:t>
      </w:r>
    </w:p>
    <w:p w:rsidR="00991F00" w:rsidRPr="008E34A1" w:rsidRDefault="00991F00" w:rsidP="008E34A1">
      <w:pPr>
        <w:spacing w:line="360" w:lineRule="auto"/>
        <w:rPr>
          <w:sz w:val="28"/>
          <w:szCs w:val="28"/>
        </w:rPr>
      </w:pPr>
    </w:p>
    <w:p w:rsidR="00991F00" w:rsidRPr="008E34A1" w:rsidRDefault="00991F00" w:rsidP="008E34A1">
      <w:pPr>
        <w:pStyle w:val="a6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8E34A1">
        <w:rPr>
          <w:sz w:val="28"/>
          <w:szCs w:val="28"/>
        </w:rPr>
        <w:t>Поняття та класифікація освітніх середовищ.</w:t>
      </w:r>
    </w:p>
    <w:p w:rsidR="00991F00" w:rsidRPr="008E34A1" w:rsidRDefault="00991F00" w:rsidP="008E34A1">
      <w:pPr>
        <w:pStyle w:val="a6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8E34A1">
        <w:rPr>
          <w:sz w:val="28"/>
          <w:szCs w:val="28"/>
        </w:rPr>
        <w:t>Навчальне освітнє середовище: структура та функції.</w:t>
      </w:r>
    </w:p>
    <w:p w:rsidR="00991F00" w:rsidRPr="008E34A1" w:rsidRDefault="00991F00" w:rsidP="008E34A1">
      <w:pPr>
        <w:pStyle w:val="a6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8E34A1">
        <w:rPr>
          <w:sz w:val="28"/>
          <w:szCs w:val="28"/>
        </w:rPr>
        <w:t>Позаурочне та позашкільне освітні середовища: роль у розвитку особистості.</w:t>
      </w:r>
    </w:p>
    <w:p w:rsidR="00991F00" w:rsidRPr="008E34A1" w:rsidRDefault="00991F00" w:rsidP="008E34A1">
      <w:pPr>
        <w:pStyle w:val="a6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8E34A1">
        <w:rPr>
          <w:sz w:val="28"/>
          <w:szCs w:val="28"/>
        </w:rPr>
        <w:t>Інформаційно-освітнє середовище: особливості, ресурси, функціонування.</w:t>
      </w:r>
    </w:p>
    <w:p w:rsidR="00161665" w:rsidRPr="008E34A1" w:rsidRDefault="00991F00" w:rsidP="008E34A1">
      <w:pPr>
        <w:pStyle w:val="a6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8E34A1">
        <w:rPr>
          <w:sz w:val="28"/>
          <w:szCs w:val="28"/>
        </w:rPr>
        <w:t>Визначення типу освітнього середовища на прикладі закладу освіти.</w:t>
      </w:r>
    </w:p>
    <w:p w:rsidR="00744089" w:rsidRPr="008E34A1" w:rsidRDefault="00744089" w:rsidP="008E34A1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744089" w:rsidRPr="008E34A1" w:rsidRDefault="00744089" w:rsidP="008E34A1">
      <w:pPr>
        <w:spacing w:line="360" w:lineRule="auto"/>
        <w:rPr>
          <w:sz w:val="28"/>
          <w:szCs w:val="28"/>
        </w:rPr>
      </w:pPr>
      <w:r w:rsidRPr="008E34A1">
        <w:rPr>
          <w:sz w:val="28"/>
          <w:szCs w:val="28"/>
        </w:rPr>
        <w:t>Освітнє середовище є багатовимірним поняттям, що охоплює різні типи взаємодій і простори, в яких реалізується навчальний процес. Залежно від цілей, змісту та форм організації діяльності розрізняють кілька типів освітніх середовищ.</w:t>
      </w:r>
    </w:p>
    <w:p w:rsidR="00744089" w:rsidRPr="008E34A1" w:rsidRDefault="00744089" w:rsidP="008E34A1">
      <w:pPr>
        <w:spacing w:line="360" w:lineRule="auto"/>
        <w:rPr>
          <w:sz w:val="28"/>
          <w:szCs w:val="28"/>
        </w:rPr>
      </w:pPr>
    </w:p>
    <w:p w:rsidR="00744089" w:rsidRPr="008E34A1" w:rsidRDefault="00744089" w:rsidP="008E34A1">
      <w:pPr>
        <w:spacing w:line="360" w:lineRule="auto"/>
        <w:rPr>
          <w:sz w:val="28"/>
          <w:szCs w:val="28"/>
        </w:rPr>
      </w:pPr>
      <w:r w:rsidRPr="008E34A1">
        <w:rPr>
          <w:sz w:val="28"/>
          <w:szCs w:val="28"/>
        </w:rPr>
        <w:t xml:space="preserve">1. Навчальне освітнє середовище — це простір, де здійснюється формальна освіта: </w:t>
      </w:r>
      <w:proofErr w:type="spellStart"/>
      <w:r w:rsidRPr="008E34A1">
        <w:rPr>
          <w:sz w:val="28"/>
          <w:szCs w:val="28"/>
        </w:rPr>
        <w:t>уроки</w:t>
      </w:r>
      <w:proofErr w:type="spellEnd"/>
      <w:r w:rsidRPr="008E34A1">
        <w:rPr>
          <w:sz w:val="28"/>
          <w:szCs w:val="28"/>
        </w:rPr>
        <w:t xml:space="preserve">, лекції, практичні заняття. Воно включає методичне забезпечення, дидактичні матеріали, цифрові ресурси, педагогічну підтримку. Основна мета — формування знань, умінь і </w:t>
      </w:r>
      <w:proofErr w:type="spellStart"/>
      <w:r w:rsidRPr="008E34A1">
        <w:rPr>
          <w:sz w:val="28"/>
          <w:szCs w:val="28"/>
        </w:rPr>
        <w:t>компетентностей</w:t>
      </w:r>
      <w:proofErr w:type="spellEnd"/>
      <w:r w:rsidRPr="008E34A1">
        <w:rPr>
          <w:sz w:val="28"/>
          <w:szCs w:val="28"/>
        </w:rPr>
        <w:t xml:space="preserve"> згідно з державними стандартами.</w:t>
      </w:r>
    </w:p>
    <w:p w:rsidR="00744089" w:rsidRPr="008E34A1" w:rsidRDefault="00744089" w:rsidP="008E34A1">
      <w:pPr>
        <w:spacing w:line="360" w:lineRule="auto"/>
        <w:rPr>
          <w:sz w:val="28"/>
          <w:szCs w:val="28"/>
        </w:rPr>
      </w:pPr>
    </w:p>
    <w:p w:rsidR="00744089" w:rsidRPr="008E34A1" w:rsidRDefault="00744089" w:rsidP="008E34A1">
      <w:pPr>
        <w:spacing w:line="360" w:lineRule="auto"/>
        <w:rPr>
          <w:sz w:val="28"/>
          <w:szCs w:val="28"/>
        </w:rPr>
      </w:pPr>
      <w:r w:rsidRPr="008E34A1">
        <w:rPr>
          <w:sz w:val="28"/>
          <w:szCs w:val="28"/>
        </w:rPr>
        <w:t xml:space="preserve">2. Позаурочне освітнє середовище охоплює виховні заходи, гурткову роботу, тематичні тижні, шкільні </w:t>
      </w:r>
      <w:proofErr w:type="spellStart"/>
      <w:r w:rsidRPr="008E34A1">
        <w:rPr>
          <w:sz w:val="28"/>
          <w:szCs w:val="28"/>
        </w:rPr>
        <w:t>проєкти</w:t>
      </w:r>
      <w:proofErr w:type="spellEnd"/>
      <w:r w:rsidRPr="008E34A1">
        <w:rPr>
          <w:sz w:val="28"/>
          <w:szCs w:val="28"/>
        </w:rPr>
        <w:t xml:space="preserve"> тощо. Воно спрямоване на розвиток </w:t>
      </w:r>
      <w:r w:rsidRPr="008E34A1">
        <w:rPr>
          <w:sz w:val="28"/>
          <w:szCs w:val="28"/>
        </w:rPr>
        <w:lastRenderedPageBreak/>
        <w:t>творчих, соціальних, комунікативних навичок учнів, формування моральних цінностей, культури спілкування та лідерських якостей.</w:t>
      </w:r>
    </w:p>
    <w:p w:rsidR="00744089" w:rsidRPr="008E34A1" w:rsidRDefault="00744089" w:rsidP="008E34A1">
      <w:pPr>
        <w:spacing w:line="360" w:lineRule="auto"/>
        <w:rPr>
          <w:sz w:val="28"/>
          <w:szCs w:val="28"/>
        </w:rPr>
      </w:pPr>
    </w:p>
    <w:p w:rsidR="00744089" w:rsidRPr="008E34A1" w:rsidRDefault="00744089" w:rsidP="008E34A1">
      <w:pPr>
        <w:spacing w:line="360" w:lineRule="auto"/>
        <w:rPr>
          <w:sz w:val="28"/>
          <w:szCs w:val="28"/>
        </w:rPr>
      </w:pPr>
      <w:r w:rsidRPr="008E34A1">
        <w:rPr>
          <w:sz w:val="28"/>
          <w:szCs w:val="28"/>
        </w:rPr>
        <w:t>3. Позашкільне освітнє середовище — це освітні простори за межами основного закладу освіти: центри творчості, спортивні школи, музичні школи, екскурсії, табори. Вони розширюють можливості для розвитку інтересів, індивідуальних нахилів, неформального навчання.</w:t>
      </w:r>
    </w:p>
    <w:p w:rsidR="00744089" w:rsidRPr="008E34A1" w:rsidRDefault="00744089" w:rsidP="008E34A1">
      <w:pPr>
        <w:spacing w:line="360" w:lineRule="auto"/>
        <w:rPr>
          <w:sz w:val="28"/>
          <w:szCs w:val="28"/>
        </w:rPr>
      </w:pPr>
    </w:p>
    <w:p w:rsidR="00744089" w:rsidRPr="008E34A1" w:rsidRDefault="00744089" w:rsidP="008E34A1">
      <w:pPr>
        <w:spacing w:line="360" w:lineRule="auto"/>
        <w:rPr>
          <w:sz w:val="28"/>
          <w:szCs w:val="28"/>
        </w:rPr>
      </w:pPr>
      <w:r w:rsidRPr="008E34A1">
        <w:rPr>
          <w:sz w:val="28"/>
          <w:szCs w:val="28"/>
        </w:rPr>
        <w:t>4. Інформаційно-освітнє середовище — це сукупність цифрових ресурсів, технологій і платформ, що забезпечують доступ до знань та організацію навчального процесу. До нього належать електронні журнали, платформи дистанційного навчання (</w:t>
      </w:r>
      <w:proofErr w:type="spellStart"/>
      <w:r w:rsidRPr="008E34A1">
        <w:rPr>
          <w:sz w:val="28"/>
          <w:szCs w:val="28"/>
        </w:rPr>
        <w:t>Google</w:t>
      </w:r>
      <w:proofErr w:type="spellEnd"/>
      <w:r w:rsidRPr="008E34A1">
        <w:rPr>
          <w:sz w:val="28"/>
          <w:szCs w:val="28"/>
        </w:rPr>
        <w:t xml:space="preserve"> </w:t>
      </w:r>
      <w:proofErr w:type="spellStart"/>
      <w:r w:rsidRPr="008E34A1">
        <w:rPr>
          <w:sz w:val="28"/>
          <w:szCs w:val="28"/>
        </w:rPr>
        <w:t>Classroom</w:t>
      </w:r>
      <w:proofErr w:type="spellEnd"/>
      <w:r w:rsidRPr="008E34A1">
        <w:rPr>
          <w:sz w:val="28"/>
          <w:szCs w:val="28"/>
        </w:rPr>
        <w:t xml:space="preserve">, </w:t>
      </w:r>
      <w:proofErr w:type="spellStart"/>
      <w:r w:rsidRPr="008E34A1">
        <w:rPr>
          <w:sz w:val="28"/>
          <w:szCs w:val="28"/>
        </w:rPr>
        <w:t>Moodle</w:t>
      </w:r>
      <w:proofErr w:type="spellEnd"/>
      <w:r w:rsidRPr="008E34A1">
        <w:rPr>
          <w:sz w:val="28"/>
          <w:szCs w:val="28"/>
        </w:rPr>
        <w:t>), освітні портали, хмарні сервіси, системи управління навчанням (LMS). Таке середовище має бути безпечним, доступним і зручним для всіх учасників освітнього процесу.</w:t>
      </w:r>
    </w:p>
    <w:p w:rsidR="00744089" w:rsidRPr="008E34A1" w:rsidRDefault="00744089" w:rsidP="008E34A1">
      <w:pPr>
        <w:spacing w:line="360" w:lineRule="auto"/>
        <w:rPr>
          <w:sz w:val="28"/>
          <w:szCs w:val="28"/>
        </w:rPr>
      </w:pPr>
    </w:p>
    <w:p w:rsidR="00744089" w:rsidRPr="008E34A1" w:rsidRDefault="00744089" w:rsidP="008E34A1">
      <w:pPr>
        <w:spacing w:line="360" w:lineRule="auto"/>
        <w:rPr>
          <w:sz w:val="28"/>
          <w:szCs w:val="28"/>
        </w:rPr>
      </w:pPr>
      <w:r w:rsidRPr="008E34A1">
        <w:rPr>
          <w:sz w:val="28"/>
          <w:szCs w:val="28"/>
        </w:rPr>
        <w:t>Визначення типу освітнього середовища на прикладі закладу освіти здійснюється через аналіз структури освітнього процесу, наявних ресурсів, форм взаємодії та реалізованих програм. Наприклад, у ліцеї з ІТ-профілем інформаційно-освітнє середовище може відігравати провідну роль, тоді як у мистецькій школі — переважатимуть позашкільні форми.</w:t>
      </w:r>
    </w:p>
    <w:p w:rsidR="00744089" w:rsidRPr="008E34A1" w:rsidRDefault="00744089" w:rsidP="008E34A1">
      <w:pPr>
        <w:spacing w:line="360" w:lineRule="auto"/>
        <w:rPr>
          <w:sz w:val="28"/>
          <w:szCs w:val="28"/>
        </w:rPr>
      </w:pPr>
    </w:p>
    <w:p w:rsidR="00744089" w:rsidRPr="008E34A1" w:rsidRDefault="00744089" w:rsidP="008E34A1">
      <w:pPr>
        <w:spacing w:line="360" w:lineRule="auto"/>
        <w:rPr>
          <w:sz w:val="28"/>
          <w:szCs w:val="28"/>
        </w:rPr>
      </w:pPr>
      <w:r w:rsidRPr="008E34A1">
        <w:rPr>
          <w:sz w:val="28"/>
          <w:szCs w:val="28"/>
        </w:rPr>
        <w:t>Таким чином, кожен тип освітнього середовища відіграє свою унікальну роль у становленні особистості, і їх ефективна інтеграція забезпечує цілісність та результативність освітнього процесу.</w:t>
      </w:r>
    </w:p>
    <w:sectPr w:rsidR="00744089" w:rsidRPr="008E3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437C38A1"/>
    <w:multiLevelType w:val="hybridMultilevel"/>
    <w:tmpl w:val="5D9A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8E"/>
    <w:rsid w:val="00110824"/>
    <w:rsid w:val="00161665"/>
    <w:rsid w:val="0035548E"/>
    <w:rsid w:val="00744089"/>
    <w:rsid w:val="008E34A1"/>
    <w:rsid w:val="00991F00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A45A"/>
  <w15:chartTrackingRefBased/>
  <w15:docId w15:val="{DDAEB101-50F5-419C-85A3-96BB3EF9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2025-09-13T17:01:00Z</dcterms:created>
  <dcterms:modified xsi:type="dcterms:W3CDTF">2025-09-13T17:11:00Z</dcterms:modified>
</cp:coreProperties>
</file>