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2B" w:rsidRPr="00D27E71" w:rsidRDefault="0094682B" w:rsidP="00D27E71">
      <w:pPr>
        <w:spacing w:line="360" w:lineRule="auto"/>
        <w:jc w:val="both"/>
        <w:rPr>
          <w:b/>
          <w:i/>
          <w:sz w:val="28"/>
          <w:szCs w:val="28"/>
        </w:rPr>
      </w:pPr>
      <w:r w:rsidRPr="00D27E71">
        <w:rPr>
          <w:b/>
          <w:i/>
          <w:sz w:val="28"/>
          <w:szCs w:val="28"/>
        </w:rPr>
        <w:t>Тема 7. Освітнє середовище Нової української школи: концептуальні та нормативні засади</w:t>
      </w:r>
      <w:bookmarkStart w:id="0" w:name="_GoBack"/>
      <w:bookmarkEnd w:id="0"/>
    </w:p>
    <w:p w:rsidR="00D27E71" w:rsidRPr="00D27E71" w:rsidRDefault="00D27E71" w:rsidP="00D27E7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ind w:left="502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D27E71">
        <w:rPr>
          <w:i/>
          <w:iCs/>
          <w:color w:val="000000"/>
          <w:sz w:val="28"/>
          <w:szCs w:val="28"/>
        </w:rPr>
        <w:t>Нормативно-</w:t>
      </w:r>
      <w:proofErr w:type="spellStart"/>
      <w:r w:rsidRPr="00D27E71">
        <w:rPr>
          <w:i/>
          <w:iCs/>
          <w:color w:val="000000"/>
          <w:sz w:val="28"/>
          <w:szCs w:val="28"/>
        </w:rPr>
        <w:t>правова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база </w:t>
      </w:r>
      <w:proofErr w:type="spellStart"/>
      <w:r w:rsidRPr="00D27E71">
        <w:rPr>
          <w:i/>
          <w:iCs/>
          <w:color w:val="000000"/>
          <w:sz w:val="28"/>
          <w:szCs w:val="28"/>
        </w:rPr>
        <w:t>освітнього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середовища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НУШ. </w:t>
      </w:r>
    </w:p>
    <w:p w:rsidR="00D27E71" w:rsidRPr="00D27E71" w:rsidRDefault="00D27E71" w:rsidP="00D27E7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ind w:left="502"/>
        <w:jc w:val="both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D27E71">
        <w:rPr>
          <w:i/>
          <w:iCs/>
          <w:color w:val="000000"/>
          <w:sz w:val="28"/>
          <w:szCs w:val="28"/>
        </w:rPr>
        <w:t>Закони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стандарти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Концепція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НУШ.</w:t>
      </w:r>
    </w:p>
    <w:p w:rsidR="00D27E71" w:rsidRPr="00D27E71" w:rsidRDefault="00D27E71" w:rsidP="00D27E7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ind w:left="502"/>
        <w:jc w:val="both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D27E71">
        <w:rPr>
          <w:i/>
          <w:iCs/>
          <w:color w:val="000000"/>
          <w:sz w:val="28"/>
          <w:szCs w:val="28"/>
        </w:rPr>
        <w:t>Концептуальні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підходи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до </w:t>
      </w:r>
      <w:proofErr w:type="spellStart"/>
      <w:r w:rsidRPr="00D27E71">
        <w:rPr>
          <w:i/>
          <w:iCs/>
          <w:color w:val="000000"/>
          <w:sz w:val="28"/>
          <w:szCs w:val="28"/>
        </w:rPr>
        <w:t>формування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освітнього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середовища</w:t>
      </w:r>
      <w:proofErr w:type="spellEnd"/>
      <w:r w:rsidRPr="00D27E71">
        <w:rPr>
          <w:i/>
          <w:iCs/>
          <w:color w:val="000000"/>
          <w:sz w:val="28"/>
          <w:szCs w:val="28"/>
        </w:rPr>
        <w:t>. </w:t>
      </w:r>
    </w:p>
    <w:p w:rsidR="00D27E71" w:rsidRPr="00D27E71" w:rsidRDefault="00D27E71" w:rsidP="00D27E7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ind w:left="502"/>
        <w:jc w:val="both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D27E71">
        <w:rPr>
          <w:i/>
          <w:iCs/>
          <w:color w:val="000000"/>
          <w:sz w:val="28"/>
          <w:szCs w:val="28"/>
        </w:rPr>
        <w:t>Дитиноцентризм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компетентнісний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підхід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інклюзія</w:t>
      </w:r>
      <w:proofErr w:type="spellEnd"/>
      <w:r w:rsidRPr="00D27E71">
        <w:rPr>
          <w:i/>
          <w:iCs/>
          <w:color w:val="000000"/>
          <w:sz w:val="28"/>
          <w:szCs w:val="28"/>
        </w:rPr>
        <w:t>.  </w:t>
      </w:r>
    </w:p>
    <w:p w:rsidR="00D27E71" w:rsidRPr="00D27E71" w:rsidRDefault="00D27E71" w:rsidP="00D27E7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ind w:left="502"/>
        <w:jc w:val="both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D27E71">
        <w:rPr>
          <w:i/>
          <w:iCs/>
          <w:color w:val="000000"/>
          <w:sz w:val="28"/>
          <w:szCs w:val="28"/>
        </w:rPr>
        <w:t>Сучасні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технології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цифровізація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гнучкість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простору. </w:t>
      </w:r>
    </w:p>
    <w:p w:rsidR="00D27E71" w:rsidRPr="00D27E71" w:rsidRDefault="00D27E71" w:rsidP="00D27E71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ind w:left="502"/>
        <w:jc w:val="both"/>
        <w:textAlignment w:val="baseline"/>
        <w:rPr>
          <w:i/>
          <w:iCs/>
          <w:color w:val="000000"/>
          <w:sz w:val="28"/>
          <w:szCs w:val="28"/>
        </w:rPr>
      </w:pPr>
      <w:proofErr w:type="spellStart"/>
      <w:r w:rsidRPr="00D27E71">
        <w:rPr>
          <w:i/>
          <w:iCs/>
          <w:color w:val="000000"/>
          <w:sz w:val="28"/>
          <w:szCs w:val="28"/>
        </w:rPr>
        <w:t>Типи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27E71">
        <w:rPr>
          <w:i/>
          <w:iCs/>
          <w:color w:val="000000"/>
          <w:sz w:val="28"/>
          <w:szCs w:val="28"/>
        </w:rPr>
        <w:t>осередків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безпека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доступність</w:t>
      </w:r>
      <w:proofErr w:type="spellEnd"/>
      <w:r w:rsidRPr="00D27E7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D27E71">
        <w:rPr>
          <w:i/>
          <w:iCs/>
          <w:color w:val="000000"/>
          <w:sz w:val="28"/>
          <w:szCs w:val="28"/>
        </w:rPr>
        <w:t>мобільність</w:t>
      </w:r>
      <w:proofErr w:type="spellEnd"/>
    </w:p>
    <w:p w:rsidR="0094682B" w:rsidRPr="00D27E71" w:rsidRDefault="0094682B" w:rsidP="00D27E71">
      <w:pPr>
        <w:spacing w:line="360" w:lineRule="auto"/>
        <w:jc w:val="both"/>
        <w:rPr>
          <w:i/>
          <w:sz w:val="28"/>
          <w:szCs w:val="28"/>
        </w:rPr>
      </w:pPr>
      <w:r w:rsidRPr="00D27E71">
        <w:rPr>
          <w:i/>
          <w:sz w:val="28"/>
          <w:szCs w:val="28"/>
        </w:rPr>
        <w:t>1. Нормативно-правова база освітнього середовища НУШ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Освітнє середовище в НУШ базується на:</w:t>
      </w:r>
    </w:p>
    <w:p w:rsidR="0094682B" w:rsidRPr="00D27E71" w:rsidRDefault="0094682B" w:rsidP="00D27E71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Концепції «Нова українська школа» (2016),</w:t>
      </w:r>
    </w:p>
    <w:p w:rsidR="0094682B" w:rsidRPr="00D27E71" w:rsidRDefault="0094682B" w:rsidP="00D27E71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Законі України «Про освіту» (2017),</w:t>
      </w:r>
    </w:p>
    <w:p w:rsidR="0094682B" w:rsidRPr="00D27E71" w:rsidRDefault="0094682B" w:rsidP="00D27E71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Законі України «Про повну загальну середню освіту» (2020),</w:t>
      </w:r>
    </w:p>
    <w:p w:rsidR="0094682B" w:rsidRPr="00D27E71" w:rsidRDefault="0094682B" w:rsidP="00D27E71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Державному стандарті початкової освіти (2018),</w:t>
      </w:r>
    </w:p>
    <w:p w:rsidR="0094682B" w:rsidRPr="00D27E71" w:rsidRDefault="0094682B" w:rsidP="00D27E71">
      <w:pPr>
        <w:pStyle w:val="a6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ДСТУ 9142:2021 «Освітнє середовище закладів освіти».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 xml:space="preserve">Ці документи визначають вимоги до безпеки, доступності, </w:t>
      </w:r>
      <w:proofErr w:type="spellStart"/>
      <w:r w:rsidRPr="00D27E71">
        <w:rPr>
          <w:sz w:val="28"/>
          <w:szCs w:val="28"/>
        </w:rPr>
        <w:t>інклюзивності</w:t>
      </w:r>
      <w:proofErr w:type="spellEnd"/>
      <w:r w:rsidRPr="00D27E71">
        <w:rPr>
          <w:sz w:val="28"/>
          <w:szCs w:val="28"/>
        </w:rPr>
        <w:t xml:space="preserve">, </w:t>
      </w:r>
      <w:proofErr w:type="spellStart"/>
      <w:r w:rsidRPr="00D27E71">
        <w:rPr>
          <w:sz w:val="28"/>
          <w:szCs w:val="28"/>
        </w:rPr>
        <w:t>цифровізації</w:t>
      </w:r>
      <w:proofErr w:type="spellEnd"/>
      <w:r w:rsidRPr="00D27E71">
        <w:rPr>
          <w:sz w:val="28"/>
          <w:szCs w:val="28"/>
        </w:rPr>
        <w:t xml:space="preserve"> та гнучкості освітнього простору.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2. Концептуальні підходи до формування освітнього середовища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Ключові підходи: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proofErr w:type="spellStart"/>
      <w:r w:rsidRPr="00D27E71">
        <w:rPr>
          <w:sz w:val="28"/>
          <w:szCs w:val="28"/>
        </w:rPr>
        <w:t>Дитиноцентризм</w:t>
      </w:r>
      <w:proofErr w:type="spellEnd"/>
      <w:r w:rsidRPr="00D27E71">
        <w:rPr>
          <w:sz w:val="28"/>
          <w:szCs w:val="28"/>
        </w:rPr>
        <w:t xml:space="preserve"> — фокус на індивідуальних потребах дитини.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proofErr w:type="spellStart"/>
      <w:r w:rsidRPr="00D27E71">
        <w:rPr>
          <w:sz w:val="28"/>
          <w:szCs w:val="28"/>
        </w:rPr>
        <w:t>Компетентнісний</w:t>
      </w:r>
      <w:proofErr w:type="spellEnd"/>
      <w:r w:rsidRPr="00D27E71">
        <w:rPr>
          <w:sz w:val="28"/>
          <w:szCs w:val="28"/>
        </w:rPr>
        <w:t xml:space="preserve"> підхід — розвиток ключових </w:t>
      </w:r>
      <w:proofErr w:type="spellStart"/>
      <w:r w:rsidRPr="00D27E71">
        <w:rPr>
          <w:sz w:val="28"/>
          <w:szCs w:val="28"/>
        </w:rPr>
        <w:t>компетентностей</w:t>
      </w:r>
      <w:proofErr w:type="spellEnd"/>
      <w:r w:rsidRPr="00D27E71">
        <w:rPr>
          <w:sz w:val="28"/>
          <w:szCs w:val="28"/>
        </w:rPr>
        <w:t>, затребуваних у XXI столітті.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Інклюзія — створення умов для навчання всіх дітей, незалежно від особливостей розвитку.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Партнерство — співпраця учнів, вчителів і батьків як рівноправних учасників.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 xml:space="preserve">3. Сучасні технології, </w:t>
      </w:r>
      <w:proofErr w:type="spellStart"/>
      <w:r w:rsidRPr="00D27E71">
        <w:rPr>
          <w:sz w:val="28"/>
          <w:szCs w:val="28"/>
        </w:rPr>
        <w:t>цифровізація</w:t>
      </w:r>
      <w:proofErr w:type="spellEnd"/>
      <w:r w:rsidRPr="00D27E71">
        <w:rPr>
          <w:sz w:val="28"/>
          <w:szCs w:val="28"/>
        </w:rPr>
        <w:t>, гнучкість простору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У НУШ освітнє середовище:</w:t>
      </w:r>
    </w:p>
    <w:p w:rsidR="0094682B" w:rsidRPr="00D27E71" w:rsidRDefault="0094682B" w:rsidP="00D27E71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інтегрує цифрові технології (платформи, електронні ресурси),</w:t>
      </w:r>
    </w:p>
    <w:p w:rsidR="0094682B" w:rsidRPr="00D27E71" w:rsidRDefault="0094682B" w:rsidP="00D27E71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lastRenderedPageBreak/>
        <w:t>передбачає гнучку організацію простору (мобільні меблі, осередки діяльності),</w:t>
      </w:r>
    </w:p>
    <w:p w:rsidR="0094682B" w:rsidRPr="00D27E71" w:rsidRDefault="0094682B" w:rsidP="00D27E71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підтримує інтерактивні методи навчання,</w:t>
      </w:r>
    </w:p>
    <w:p w:rsidR="0094682B" w:rsidRPr="00D27E71" w:rsidRDefault="0094682B" w:rsidP="00D27E71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гарантує доступ до якісного цифрового контенту.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4. Типи осередків, безпека, доступність, мобільність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 xml:space="preserve">Середовище має бути </w:t>
      </w:r>
      <w:proofErr w:type="spellStart"/>
      <w:r w:rsidRPr="00D27E71">
        <w:rPr>
          <w:sz w:val="28"/>
          <w:szCs w:val="28"/>
        </w:rPr>
        <w:t>зоноване</w:t>
      </w:r>
      <w:proofErr w:type="spellEnd"/>
      <w:r w:rsidRPr="00D27E71">
        <w:rPr>
          <w:sz w:val="28"/>
          <w:szCs w:val="28"/>
        </w:rPr>
        <w:t>: осередки навчання, гри, відпочинку, дослідження.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Ключові вимоги: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Фізична й емоційна безпека.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Архітектурна доступність (інклюзивний дизайн).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Мобільність і адаптивність середовища до потреб дітей.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Висновки: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Освітнє середовище НУШ — це не лише простір, а інструмент реалізації педагогіки партнерства, розвитку та рівного доступу до якісної освіти. Воно повинно відповідати сучасним вимогам, бути інноваційним, інклюзивним і гнучким.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Використані джерела (відповідно до ДСТУ 8302:2015):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Концепція «Нова українська школа» [Електронний ресурс]. – Режим доступу: https://mon.gov.ua/ua/nova-ukrainska-shkola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Закон України «Про освіту» від 05.09.2017 № 2145-VIII [Електронний ресурс]. – Режим доступу: https://zakon.rada.gov.ua/laws/show/2145-19#Text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lastRenderedPageBreak/>
        <w:t>Закон України «Про повну загальну середню освіту» від 16.01.2020 № 463-IX [Електронний ресурс]. – Режим доступу: https://zakon.rada.gov.ua/laws/show/463-20#Text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>ДСТУ 9142:2021. Освітнє середовище закладів освіти. Загальні технічні вимоги. – Київ: Мінекономіки України, 2021.</w:t>
      </w:r>
    </w:p>
    <w:p w:rsidR="0094682B" w:rsidRPr="00D27E71" w:rsidRDefault="0094682B" w:rsidP="00D27E71">
      <w:pPr>
        <w:spacing w:line="360" w:lineRule="auto"/>
        <w:jc w:val="both"/>
        <w:rPr>
          <w:sz w:val="28"/>
          <w:szCs w:val="28"/>
        </w:rPr>
      </w:pPr>
    </w:p>
    <w:p w:rsidR="00161665" w:rsidRPr="00D27E71" w:rsidRDefault="0094682B" w:rsidP="00D27E71">
      <w:pPr>
        <w:spacing w:line="360" w:lineRule="auto"/>
        <w:jc w:val="both"/>
        <w:rPr>
          <w:sz w:val="28"/>
          <w:szCs w:val="28"/>
        </w:rPr>
      </w:pPr>
      <w:r w:rsidRPr="00D27E71">
        <w:rPr>
          <w:sz w:val="28"/>
          <w:szCs w:val="28"/>
        </w:rPr>
        <w:t xml:space="preserve">OECD. </w:t>
      </w:r>
      <w:proofErr w:type="spellStart"/>
      <w:r w:rsidRPr="00D27E71">
        <w:rPr>
          <w:sz w:val="28"/>
          <w:szCs w:val="28"/>
        </w:rPr>
        <w:t>The</w:t>
      </w:r>
      <w:proofErr w:type="spellEnd"/>
      <w:r w:rsidRPr="00D27E71">
        <w:rPr>
          <w:sz w:val="28"/>
          <w:szCs w:val="28"/>
        </w:rPr>
        <w:t xml:space="preserve"> </w:t>
      </w:r>
      <w:proofErr w:type="spellStart"/>
      <w:r w:rsidRPr="00D27E71">
        <w:rPr>
          <w:sz w:val="28"/>
          <w:szCs w:val="28"/>
        </w:rPr>
        <w:t>Future</w:t>
      </w:r>
      <w:proofErr w:type="spellEnd"/>
      <w:r w:rsidRPr="00D27E71">
        <w:rPr>
          <w:sz w:val="28"/>
          <w:szCs w:val="28"/>
        </w:rPr>
        <w:t xml:space="preserve"> </w:t>
      </w:r>
      <w:proofErr w:type="spellStart"/>
      <w:r w:rsidRPr="00D27E71">
        <w:rPr>
          <w:sz w:val="28"/>
          <w:szCs w:val="28"/>
        </w:rPr>
        <w:t>of</w:t>
      </w:r>
      <w:proofErr w:type="spellEnd"/>
      <w:r w:rsidRPr="00D27E71">
        <w:rPr>
          <w:sz w:val="28"/>
          <w:szCs w:val="28"/>
        </w:rPr>
        <w:t xml:space="preserve"> </w:t>
      </w:r>
      <w:proofErr w:type="spellStart"/>
      <w:r w:rsidRPr="00D27E71">
        <w:rPr>
          <w:sz w:val="28"/>
          <w:szCs w:val="28"/>
        </w:rPr>
        <w:t>Education</w:t>
      </w:r>
      <w:proofErr w:type="spellEnd"/>
      <w:r w:rsidRPr="00D27E71">
        <w:rPr>
          <w:sz w:val="28"/>
          <w:szCs w:val="28"/>
        </w:rPr>
        <w:t xml:space="preserve"> </w:t>
      </w:r>
      <w:proofErr w:type="spellStart"/>
      <w:r w:rsidRPr="00D27E71">
        <w:rPr>
          <w:sz w:val="28"/>
          <w:szCs w:val="28"/>
        </w:rPr>
        <w:t>and</w:t>
      </w:r>
      <w:proofErr w:type="spellEnd"/>
      <w:r w:rsidRPr="00D27E71">
        <w:rPr>
          <w:sz w:val="28"/>
          <w:szCs w:val="28"/>
        </w:rPr>
        <w:t xml:space="preserve"> </w:t>
      </w:r>
      <w:proofErr w:type="spellStart"/>
      <w:r w:rsidRPr="00D27E71">
        <w:rPr>
          <w:sz w:val="28"/>
          <w:szCs w:val="28"/>
        </w:rPr>
        <w:t>Skills</w:t>
      </w:r>
      <w:proofErr w:type="spellEnd"/>
      <w:r w:rsidRPr="00D27E71">
        <w:rPr>
          <w:sz w:val="28"/>
          <w:szCs w:val="28"/>
        </w:rPr>
        <w:t xml:space="preserve"> 2030: OECD </w:t>
      </w:r>
      <w:proofErr w:type="spellStart"/>
      <w:r w:rsidRPr="00D27E71">
        <w:rPr>
          <w:sz w:val="28"/>
          <w:szCs w:val="28"/>
        </w:rPr>
        <w:t>Learning</w:t>
      </w:r>
      <w:proofErr w:type="spellEnd"/>
      <w:r w:rsidRPr="00D27E71">
        <w:rPr>
          <w:sz w:val="28"/>
          <w:szCs w:val="28"/>
        </w:rPr>
        <w:t xml:space="preserve"> </w:t>
      </w:r>
      <w:proofErr w:type="spellStart"/>
      <w:r w:rsidRPr="00D27E71">
        <w:rPr>
          <w:sz w:val="28"/>
          <w:szCs w:val="28"/>
        </w:rPr>
        <w:t>Compass</w:t>
      </w:r>
      <w:proofErr w:type="spellEnd"/>
      <w:r w:rsidRPr="00D27E71">
        <w:rPr>
          <w:sz w:val="28"/>
          <w:szCs w:val="28"/>
        </w:rPr>
        <w:t xml:space="preserve"> [Електронний ресурс]. – Режим доступу: https://www.oecd.org/education/2030-project/</w:t>
      </w:r>
    </w:p>
    <w:sectPr w:rsidR="00161665" w:rsidRPr="00D2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00855B0"/>
    <w:multiLevelType w:val="multilevel"/>
    <w:tmpl w:val="22F8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35F91"/>
    <w:multiLevelType w:val="hybridMultilevel"/>
    <w:tmpl w:val="1B5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3FC7"/>
    <w:multiLevelType w:val="hybridMultilevel"/>
    <w:tmpl w:val="1052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A6"/>
    <w:rsid w:val="00110824"/>
    <w:rsid w:val="00161665"/>
    <w:rsid w:val="0094682B"/>
    <w:rsid w:val="00CB4229"/>
    <w:rsid w:val="00D27E71"/>
    <w:rsid w:val="00E0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780E"/>
  <w15:chartTrackingRefBased/>
  <w15:docId w15:val="{70758048-2503-4D9D-824A-11814B30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D27E71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2025-09-16T10:51:00Z</dcterms:created>
  <dcterms:modified xsi:type="dcterms:W3CDTF">2025-09-16T10:56:00Z</dcterms:modified>
</cp:coreProperties>
</file>