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A26" w:rsidRPr="00827BA4" w:rsidRDefault="00827BA4" w:rsidP="00827BA4">
      <w:pPr>
        <w:spacing w:line="360" w:lineRule="auto"/>
        <w:jc w:val="both"/>
        <w:rPr>
          <w:caps/>
          <w:sz w:val="28"/>
          <w:szCs w:val="28"/>
        </w:rPr>
      </w:pPr>
      <w:r w:rsidRPr="00827BA4">
        <w:rPr>
          <w:i/>
          <w:caps/>
          <w:sz w:val="28"/>
          <w:szCs w:val="28"/>
        </w:rPr>
        <w:t>Тема 3. Організаційна структура управління освітою в Україні: суб’єкти, повноваження, нормативна база.</w:t>
      </w:r>
    </w:p>
    <w:p w:rsidR="00161665" w:rsidRPr="00844A26" w:rsidRDefault="000E035B" w:rsidP="00844A26">
      <w:pPr>
        <w:spacing w:line="360" w:lineRule="auto"/>
        <w:jc w:val="both"/>
        <w:rPr>
          <w:sz w:val="28"/>
          <w:szCs w:val="28"/>
        </w:rPr>
      </w:pPr>
      <w:bookmarkStart w:id="0" w:name="_GoBack"/>
      <w:r w:rsidRPr="00844A26">
        <w:rPr>
          <w:sz w:val="28"/>
          <w:szCs w:val="28"/>
        </w:rPr>
        <w:t xml:space="preserve">Нормативно-правове регулювання сфери вищої освіти в Україні – це сукупність правових засобів, за допомогою яких здійснюється правове регулювання суспільних відносин у сфері освіти. Правові норми, які здійснюють вказане регулювання суспільних відносин формують систему з характерною для неї ієрархією рівнів </w:t>
      </w:r>
      <w:proofErr w:type="spellStart"/>
      <w:r w:rsidRPr="00844A26">
        <w:rPr>
          <w:sz w:val="28"/>
          <w:szCs w:val="28"/>
        </w:rPr>
        <w:t>зв’язків</w:t>
      </w:r>
      <w:proofErr w:type="spellEnd"/>
      <w:r w:rsidRPr="00844A26">
        <w:rPr>
          <w:sz w:val="28"/>
          <w:szCs w:val="28"/>
        </w:rPr>
        <w:t xml:space="preserve"> та структурою. Формування з урахуванням європейських стандартів та міжнародного досвіду прогресивної нормативно-правової бази, в першу чергу, щодо забезпечення якості освіти є насамперед одним з основних факторів, які забезпечать реалізацію прав людини на якісну освіту і одним з основних факторів підготовки кваліфікованого фахівця. У сфері освіти України в процесі реформування вже здійсненні перші кроки до вдосконалення нормативно-правового регулювання у сфері освіти щодо забезпечення якості освіти, серед яких прийняття Закону України «Про вищу освіту», Закону України «Про освіту». Однак, сьогодні виникає нагальна потреба подальшої розробки і вдосконалення нормативно-правових актів відповідно до новоприйнятих законів у сфері освіти. Досліджуючи нормативно-правове регулювання у сфері вищої освіти щодо забезпечення якості вищої освіти, варто відзначити, що маємо нормативно-правові документи, які безпосередньо стосуються забезпечення якості вищої освіти, так і такі, що мають опосередкований вплив, однак в ті чи іншій мірі визначають процеси чи процедури. Окремим додатком сформовано масив нормативно-правових актів, що </w:t>
      </w:r>
      <w:proofErr w:type="spellStart"/>
      <w:r w:rsidRPr="00844A26">
        <w:rPr>
          <w:sz w:val="28"/>
          <w:szCs w:val="28"/>
        </w:rPr>
        <w:t>погруповані</w:t>
      </w:r>
      <w:proofErr w:type="spellEnd"/>
      <w:r w:rsidRPr="00844A26">
        <w:rPr>
          <w:sz w:val="28"/>
          <w:szCs w:val="28"/>
        </w:rPr>
        <w:t xml:space="preserve"> за ієрархією їх створення та сили дії. які у тій чи іншій мірі мають відношення до забезпечення якості вищої освіти. В зручності проведення аналізу та подальшої роботи з ним, поділили документи на зовнішнього та внутрішнього походження для ЗВО, а також відповідно до трьох розділів стандартів. Вагомим інструментом у нормативно-правовому регулюванні забезпечення якості освіти стали Закон України «Про вищу освіту» від 01.07.2014 р. та Закон України «Про освіту» від 05.09.2017 р. Законом України «Про освіту» передбачено ряд позитивних новел, серед яких </w:t>
      </w:r>
      <w:r w:rsidRPr="00844A26">
        <w:rPr>
          <w:sz w:val="28"/>
          <w:szCs w:val="28"/>
        </w:rPr>
        <w:lastRenderedPageBreak/>
        <w:t>є вдосконалення поняття якості освіти (п. 29 ст. 1 ) з внесенням змін до Закону України «Про вищу освіту» та коригуванні поняття якості вищої освіти. Так, якість вищої освіти – це відповідність результатів навчання вимогам, встановленим законодавством, відповідним стандартом вищої освіти та/або договором про надання освітніх послуг (п. 23 ст. 1).</w:t>
      </w:r>
    </w:p>
    <w:p w:rsidR="00844A26" w:rsidRPr="00844A26" w:rsidRDefault="00844A26" w:rsidP="00D3792B">
      <w:pPr>
        <w:spacing w:line="360" w:lineRule="auto"/>
        <w:jc w:val="both"/>
        <w:rPr>
          <w:sz w:val="28"/>
          <w:szCs w:val="28"/>
        </w:rPr>
      </w:pPr>
      <w:r w:rsidRPr="00844A26">
        <w:rPr>
          <w:sz w:val="28"/>
          <w:szCs w:val="28"/>
        </w:rPr>
        <w:t xml:space="preserve">Закон України «Про освіту» (ч. 2 ст. 41) щодо складових систем забезпечення якості освіти не вносив корективи, так як Закон України «Про вищу освіту» чітко та повно сформував вказані складові. Згідно із ст. 16 Закону України «Про вищу освіту» система забезпечення якості вищої освіти в Україні складається із: 1) системи забезпечення закладами вищої освіти якості освітньої діяльності та якості вищої освіти (система внутрішнього забезпечення якості); 2) системи зовнішнього забезпечення якості освітньої діяльності закладів вищої освіти та якості вищої освіти; 3) системи забезпечення якості діяльності Національного агентства із забезпечення якості вищої освіти і незалежних установ оцінювання та забезпечення якості вищої освіти. Натомість Законом України «Про освіту» (ч. 3 ст. 41) розширено перелік процедур і заходів, які здійснюються для забезпечення системи якості освітньої діяльності та якості вищої освіти (система внутрішнього забезпечення якості) порівняно із переліком передбаченим Законом України «Про вищу освіту» (ч. 2 ст. 16). Так, Законом України «Про освіту» додатково визначені такі процедури та заходи: 1) оприлюднені критерії, правила і процедури оцінювання педагогічної (науково-педагогічної) діяльності педагогічних та науково-педагогічних працівників; 2) оприлюднені критерії, правила і процедури оцінювання управлінської діяльності керівних працівників закладу освіти. Ці додаткові заходи забезпечать проведення моніторингу управлінської діяльності усіх рівнів, зокрема, і керівників структурних підрозділів та дослідження прогресивних напрямків та проблем у такій діяльності. З цією метою першочерговим є надання уповноваженим органом методичної допомоги вищим навчальним закладам у формуванні таких критеріїв (методичні рекомендації, інші документи надає Міністерство </w:t>
      </w:r>
      <w:r w:rsidRPr="00844A26">
        <w:rPr>
          <w:sz w:val="28"/>
          <w:szCs w:val="28"/>
        </w:rPr>
        <w:lastRenderedPageBreak/>
        <w:t xml:space="preserve">освіти і науки України відповідно до Положення про Міністерство освіти і науки України, яке затверджено постановою КМУ від 16.10.2014 №630 (п. 20, 68), правил і процедур оцінювання управлінської діяльності, а також затвердження та оприлюднення навчальними вказаних процедур. Новим Законом України «Про освіту», на наш погляд, окреслено одну із основних ролей ліцензування освітньої діяльності та акредитації освітніх програм. Так, передбачено, що ліцензування освітньої діяльності та акредитації освітніх програм є одними із основних інструментів, процедур та заходів забезпечення і підвищення якості освіти. Саме такі євроінтеграційні положення Закону України «Про освіту» та звичайно політика впровадження європейських стандартів та міжнародного досвіду у сфері вищої освіти дозволять забезпечити якість вищої освіти на найвищому рівні. Окрім двох основних нормативних документів у сфері освіти, окремі норми, що окреслюють процедури забезпечення якості вищої освіти подані у Законі України «Про доступ до публічної інформації» від 13.01.2011 р., Законі України «Про захист персональних даних» від 01.06.2010 р., Законі України «Про ліцензування видів господарської діяльності» від 02.03.2015 р. Розділ І. Внутрішнє забезпечення якості Вищі навчальні заклади мають одну із основних місій – це створення необхідних умов для реалізації учасниками освітнього процесу їхніх здібностей і талантів. Саме з метою досягнення вказаних цілей реформування у сфері вищої освіти та основних місій вищих навчальних закладів необхідно забезпечити якісне оновлення нормативно-правової бази у сфері вищої освіти, зокрема щодо забезпечення освітнього процесу. Базовими нормативними документами, що визначають та регулюють внутрішнє забезпечення якості освітнього процесу є Закон України «Про освіту» та Закон України «Про вищу освіту». Закон України «Про освіту» (ст. 1) визначає освітній процес як систему науково-методичних і педагогічних заходів, спрямованих на розвиток особистості шляхом формування та застосування її </w:t>
      </w:r>
      <w:proofErr w:type="spellStart"/>
      <w:r w:rsidRPr="00844A26">
        <w:rPr>
          <w:sz w:val="28"/>
          <w:szCs w:val="28"/>
        </w:rPr>
        <w:t>компетентностей</w:t>
      </w:r>
      <w:proofErr w:type="spellEnd"/>
      <w:r w:rsidRPr="00844A26">
        <w:rPr>
          <w:sz w:val="28"/>
          <w:szCs w:val="28"/>
        </w:rPr>
        <w:t xml:space="preserve">. Термін «освітній процес» набув свого подальшого більш детальнішого змісту у сфері вищої освіти у Законі України «Про вищу освіту». </w:t>
      </w:r>
      <w:r w:rsidRPr="00844A26">
        <w:rPr>
          <w:sz w:val="28"/>
          <w:szCs w:val="28"/>
        </w:rPr>
        <w:lastRenderedPageBreak/>
        <w:t xml:space="preserve">Так, статтею 47 Закону України «Про вищу освіту» поняття освітній процес характеризується як інтелектуальна, творча діяльність у сфері вищої освіти і науки, що провадиться у закладі вищої освіти (науковій установі) через систему науково-методичних і педагогічних заходів та спрямована на передачу, засвоєння, примноження і використання знань, умінь та інших </w:t>
      </w:r>
      <w:proofErr w:type="spellStart"/>
      <w:r w:rsidRPr="00844A26">
        <w:rPr>
          <w:sz w:val="28"/>
          <w:szCs w:val="28"/>
        </w:rPr>
        <w:t>компетентностей</w:t>
      </w:r>
      <w:proofErr w:type="spellEnd"/>
      <w:r w:rsidRPr="00844A26">
        <w:rPr>
          <w:sz w:val="28"/>
          <w:szCs w:val="28"/>
        </w:rPr>
        <w:t xml:space="preserve"> у осіб, які навчаються, а також на формування гармонійно розвиненої особистості. Отже, основною метою в освітньою процесі – це формування насправді гармонійно розвиненої кваліфікованої особистості. Поняття освітній процес є справді багатогранним та комплексним терміном, який включає в себе в широку значенні різні елементи, серед яких: форма здобуття освіти, рівні освіти, форми організації освітнього процесу та види навчальних занять, отримання кваліфікації, учасники освітнього процесу: здобувачі вищої освіти та науково-педагогічні працівники, академічна мобільність, ін. Новим Законом України «Про освіту» зафіксовано визнання основних видів освіти впродовж життя та їх підтримку державою. Так, поряд із звичним видом формальної освіти, під якою відповідно до ст. 8 цього закону розуміють освіту, яка здобувається за освітніми програмами відповідно до визначених законодавством рівнів освіти, галузей знань, спеціальностей (професій) і передбачає досягнення здобувачами освіти визначених стандартами освіти результатів навчання відповідного рівня освіти та здобуття кваліфікацій, що визнаються державою), законодавець надав особі право на неформальну та </w:t>
      </w:r>
      <w:proofErr w:type="spellStart"/>
      <w:r w:rsidRPr="00844A26">
        <w:rPr>
          <w:sz w:val="28"/>
          <w:szCs w:val="28"/>
        </w:rPr>
        <w:t>інформальну</w:t>
      </w:r>
      <w:proofErr w:type="spellEnd"/>
      <w:r w:rsidRPr="00844A26">
        <w:rPr>
          <w:sz w:val="28"/>
          <w:szCs w:val="28"/>
        </w:rPr>
        <w:t xml:space="preserve"> освіту. Неформальна освіта - це освіта, яка здобувається, як правило, за освітніми програмами та не передбачає присудження визнаних державою освітніх кваліфікацій за рівнями освіти, але може завершуватися присвоєнням професійних та/або присудженням часткових освітніх кваліфікацій. </w:t>
      </w:r>
      <w:proofErr w:type="spellStart"/>
      <w:r w:rsidRPr="00844A26">
        <w:rPr>
          <w:sz w:val="28"/>
          <w:szCs w:val="28"/>
        </w:rPr>
        <w:t>Інформальна</w:t>
      </w:r>
      <w:proofErr w:type="spellEnd"/>
      <w:r w:rsidRPr="00844A26">
        <w:rPr>
          <w:sz w:val="28"/>
          <w:szCs w:val="28"/>
        </w:rPr>
        <w:t xml:space="preserve"> освіта (самоосвіта) - це освіта, яка передбачає </w:t>
      </w:r>
      <w:proofErr w:type="spellStart"/>
      <w:r w:rsidRPr="00844A26">
        <w:rPr>
          <w:sz w:val="28"/>
          <w:szCs w:val="28"/>
        </w:rPr>
        <w:t>самоорганізоване</w:t>
      </w:r>
      <w:proofErr w:type="spellEnd"/>
      <w:r w:rsidRPr="00844A26">
        <w:rPr>
          <w:sz w:val="28"/>
          <w:szCs w:val="28"/>
        </w:rPr>
        <w:t xml:space="preserve"> здобуття особою певних </w:t>
      </w:r>
      <w:proofErr w:type="spellStart"/>
      <w:r w:rsidRPr="00844A26">
        <w:rPr>
          <w:sz w:val="28"/>
          <w:szCs w:val="28"/>
        </w:rPr>
        <w:t>компетентностей</w:t>
      </w:r>
      <w:proofErr w:type="spellEnd"/>
      <w:r w:rsidRPr="00844A26">
        <w:rPr>
          <w:sz w:val="28"/>
          <w:szCs w:val="28"/>
        </w:rPr>
        <w:t xml:space="preserve">, зокрема під час повсякденної діяльності, пов’язаної з професійною, громадською або іншою діяльністю, родиною чи дозвіллям. Окрім, закріплення нових нестандартних для нашої системи освіти видів освіти </w:t>
      </w:r>
      <w:r w:rsidRPr="00844A26">
        <w:rPr>
          <w:sz w:val="28"/>
          <w:szCs w:val="28"/>
        </w:rPr>
        <w:lastRenderedPageBreak/>
        <w:t xml:space="preserve">(неформальна та </w:t>
      </w:r>
      <w:proofErr w:type="spellStart"/>
      <w:r w:rsidRPr="00844A26">
        <w:rPr>
          <w:sz w:val="28"/>
          <w:szCs w:val="28"/>
        </w:rPr>
        <w:t>інформальна</w:t>
      </w:r>
      <w:proofErr w:type="spellEnd"/>
      <w:r w:rsidRPr="00844A26">
        <w:rPr>
          <w:sz w:val="28"/>
          <w:szCs w:val="28"/>
        </w:rPr>
        <w:t xml:space="preserve">) в законі передбачено право особи на визнання результатів навчання, здобутих шляхом неформальної та/або </w:t>
      </w:r>
      <w:proofErr w:type="spellStart"/>
      <w:r w:rsidRPr="00844A26">
        <w:rPr>
          <w:sz w:val="28"/>
          <w:szCs w:val="28"/>
        </w:rPr>
        <w:t>інформальної</w:t>
      </w:r>
      <w:proofErr w:type="spellEnd"/>
      <w:r w:rsidRPr="00844A26">
        <w:rPr>
          <w:sz w:val="28"/>
          <w:szCs w:val="28"/>
        </w:rPr>
        <w:t xml:space="preserve"> освіти, в системі формальної освіти в порядку, визначеному законодавством. Вказані новели є прогресивними кроками у реформуванні системи освіти та надання широкого спектру прав особам при здобутті освіти. Однак, з метою реалізації прав особи на визнання результатів навчання, здобутих шляхом неформальної та/або </w:t>
      </w:r>
      <w:proofErr w:type="spellStart"/>
      <w:r w:rsidRPr="00844A26">
        <w:rPr>
          <w:sz w:val="28"/>
          <w:szCs w:val="28"/>
        </w:rPr>
        <w:t>інформальної</w:t>
      </w:r>
      <w:proofErr w:type="spellEnd"/>
      <w:r w:rsidRPr="00844A26">
        <w:rPr>
          <w:sz w:val="28"/>
          <w:szCs w:val="28"/>
        </w:rPr>
        <w:t xml:space="preserve"> освіти в системі формальної освіти необхідно розробити та затвердити на законодавчому рівні порядок такого визнання. З приводу форм освіти, то Закон України «Про освіту» передбачив і нові форми здобуття освіти (мережева, дуальна, сімейна, ін.). Відповідно до статті 9 цього закону особа має право здобувати освіту в різних формах, а саме: інституційна (очна (денна, вечірня), заочна, дистанційна, мережева); індивідуальна (</w:t>
      </w:r>
      <w:proofErr w:type="spellStart"/>
      <w:r w:rsidRPr="00844A26">
        <w:rPr>
          <w:sz w:val="28"/>
          <w:szCs w:val="28"/>
        </w:rPr>
        <w:t>екстернатна</w:t>
      </w:r>
      <w:proofErr w:type="spellEnd"/>
      <w:r w:rsidRPr="00844A26">
        <w:rPr>
          <w:sz w:val="28"/>
          <w:szCs w:val="28"/>
        </w:rPr>
        <w:t xml:space="preserve">, сімейна (домашня), педагогічний патронаж, на робочому місці (на виробництві); дуальна. Вказане закріплення форм освіти у Законі України «Про освіту» зробило дистанційну освіту самостійною формою здобуття освіти, а не різновидом заочної форми. Із наведеного переліку форм здобуття освіти у сфері вищої освіти можуть використовуватись не всі наведені форми, а тому необхідно </w:t>
      </w:r>
      <w:proofErr w:type="spellStart"/>
      <w:r w:rsidRPr="00844A26">
        <w:rPr>
          <w:sz w:val="28"/>
          <w:szCs w:val="28"/>
        </w:rPr>
        <w:t>внести</w:t>
      </w:r>
      <w:proofErr w:type="spellEnd"/>
      <w:r w:rsidRPr="00844A26">
        <w:rPr>
          <w:sz w:val="28"/>
          <w:szCs w:val="28"/>
        </w:rPr>
        <w:t xml:space="preserve"> відповідні зміни до Закону України «Про вищу освіту». З метою реалізації права особи на нові форми освіти необхідно розробити положення про форми здобуття освіти, яке затверджується у встановленому законом порядку центральним органом виконавчої влади у сфері освіти і науки. У статті 10 Закону України «Про освіту» визначено нові складники системи освіти, серед них: спеціалізована освіта; фахова </w:t>
      </w:r>
      <w:proofErr w:type="spellStart"/>
      <w:r w:rsidRPr="00844A26">
        <w:rPr>
          <w:sz w:val="28"/>
          <w:szCs w:val="28"/>
        </w:rPr>
        <w:t>передвища</w:t>
      </w:r>
      <w:proofErr w:type="spellEnd"/>
      <w:r w:rsidRPr="00844A26">
        <w:rPr>
          <w:sz w:val="28"/>
          <w:szCs w:val="28"/>
        </w:rPr>
        <w:t xml:space="preserve"> освіта; освіта дорослих, у тому числі післядипломна освіта. Законом України «Про освіту» визначено лише загальні засади вказаних складників системи освіти та надано визначення понять, тому з метою імплементації положень вказаного закону необхідно розробити нормативно-правові акти, які будуть визначати порядок, умови, форми та особливості здобуття спеціалізованої, фахової </w:t>
      </w:r>
      <w:proofErr w:type="spellStart"/>
      <w:r w:rsidRPr="00844A26">
        <w:rPr>
          <w:sz w:val="28"/>
          <w:szCs w:val="28"/>
        </w:rPr>
        <w:t>передвищої</w:t>
      </w:r>
      <w:proofErr w:type="spellEnd"/>
      <w:r w:rsidRPr="00844A26">
        <w:rPr>
          <w:sz w:val="28"/>
          <w:szCs w:val="28"/>
        </w:rPr>
        <w:t xml:space="preserve"> та освіти дорослих. Крім цього, з приводу спеціалізованої освіти, яка відповідно до Закону </w:t>
      </w:r>
      <w:r w:rsidRPr="00844A26">
        <w:rPr>
          <w:sz w:val="28"/>
          <w:szCs w:val="28"/>
        </w:rPr>
        <w:lastRenderedPageBreak/>
        <w:t xml:space="preserve">України «Про освіту» (ст. 21) є освітою мистецького, спортивного, військового чи наукового спрямування необхідно розробити Положення про заклади спеціалізованої освіти відповідно до визначеного законом спрямування та затвердити у встановленому спеціальним законом порядку. Законом України «Про освіту» врегульовано поняття кваліфікації, в тому числі і надано визначення поняття «професійна кваліфікація» та визначено суб’єктів та підстави її присвоєння. Так, відповідно до ст. 34 цього закону це визнана кваліфікаційним центром, суб’єктом освітньої діяльності, іншим уповноваженим суб’єктом та засвідчена відповідним документом стандартизована сукупність здобутих особою </w:t>
      </w:r>
      <w:proofErr w:type="spellStart"/>
      <w:r w:rsidRPr="00844A26">
        <w:rPr>
          <w:sz w:val="28"/>
          <w:szCs w:val="28"/>
        </w:rPr>
        <w:t>компетентностей</w:t>
      </w:r>
      <w:proofErr w:type="spellEnd"/>
      <w:r w:rsidRPr="00844A26">
        <w:rPr>
          <w:sz w:val="28"/>
          <w:szCs w:val="28"/>
        </w:rPr>
        <w:t xml:space="preserve"> (результатів навчання), що дозволяють виконувати певний вид роботи або здійснювати професійну діяльність. Однак, Процедури присудження (присвоєння), підтвердження кваліфікацій, а також порядок утворення та діяльності і правовий статус суб’єктів, що здійснюють діяльність з оцінювання і визнання освітніх та/або професійних кваліфікацій, необхідно визначити спеціальними законами та іншими </w:t>
      </w:r>
      <w:proofErr w:type="spellStart"/>
      <w:r w:rsidRPr="00844A26">
        <w:rPr>
          <w:sz w:val="28"/>
          <w:szCs w:val="28"/>
        </w:rPr>
        <w:t>нормативноправовими</w:t>
      </w:r>
      <w:proofErr w:type="spellEnd"/>
      <w:r w:rsidRPr="00844A26">
        <w:rPr>
          <w:sz w:val="28"/>
          <w:szCs w:val="28"/>
        </w:rPr>
        <w:t xml:space="preserve"> актами. Ще одним із прогресивних положень Закону України «Про освіту» (ст. 40) є запровадження Єдиного державного реєстру документів про освіту, що забезпечить функціонування єдиної систематизованої інформаційної бази щодо здобутої освіти. З метою забезпечення реалізації вказаної норми закону та забезпечення функціонування вказаного реєстру необхідно розробити Порядок функціонування Єдиного державного реєстру документів про освіту та затвердити у встановленому законом порядку, який буде одним із елементів Положення про функціонування Єдиної державної електронної бази з питань освіти. Окресливши основні зміни та понятійний апарат, що приніс новий Закон України «Про освіту», можемо перейти до аналізу нормативних документів за кожним стандартом. У таблицю </w:t>
      </w:r>
      <w:proofErr w:type="spellStart"/>
      <w:r w:rsidRPr="00844A26">
        <w:rPr>
          <w:sz w:val="28"/>
          <w:szCs w:val="28"/>
        </w:rPr>
        <w:t>внесено</w:t>
      </w:r>
      <w:proofErr w:type="spellEnd"/>
      <w:r w:rsidRPr="00844A26">
        <w:rPr>
          <w:sz w:val="28"/>
          <w:szCs w:val="28"/>
        </w:rPr>
        <w:t xml:space="preserve"> аналіз зовнішнього нормативного забезпечення, котре обов’язкове для виконання ЗВО та окреслює вимоги у рамках кожного зі стандартів. Окремо винесено аналіз нормативного забезпечення ЗВО за кожним зі стандартів. Відзначимо, що це </w:t>
      </w:r>
      <w:r w:rsidRPr="00844A26">
        <w:rPr>
          <w:sz w:val="28"/>
          <w:szCs w:val="28"/>
        </w:rPr>
        <w:lastRenderedPageBreak/>
        <w:t xml:space="preserve">примірне окреслення, оскільки назви чи види документів у кожному ЗВО можуть відрізнятися, адже це належить до автономії навчальних закладів. </w:t>
      </w:r>
      <w:bookmarkEnd w:id="0"/>
    </w:p>
    <w:sectPr w:rsidR="00844A26" w:rsidRPr="00844A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3974"/>
        </w:tabs>
        <w:ind w:left="3974" w:hanging="432"/>
      </w:pPr>
      <w:rPr>
        <w:rFonts w:cs="Times New Roman"/>
      </w:rPr>
    </w:lvl>
    <w:lvl w:ilvl="1">
      <w:start w:val="1"/>
      <w:numFmt w:val="none"/>
      <w:lvlText w:val=""/>
      <w:lvlJc w:val="left"/>
      <w:pPr>
        <w:tabs>
          <w:tab w:val="num" w:pos="4118"/>
        </w:tabs>
        <w:ind w:left="4118" w:hanging="576"/>
      </w:pPr>
      <w:rPr>
        <w:rFonts w:cs="Times New Roman"/>
      </w:rPr>
    </w:lvl>
    <w:lvl w:ilvl="2">
      <w:start w:val="1"/>
      <w:numFmt w:val="none"/>
      <w:pStyle w:val="3"/>
      <w:lvlText w:val=""/>
      <w:lvlJc w:val="left"/>
      <w:pPr>
        <w:tabs>
          <w:tab w:val="num" w:pos="4262"/>
        </w:tabs>
        <w:ind w:left="4262" w:hanging="720"/>
      </w:pPr>
      <w:rPr>
        <w:rFonts w:cs="Times New Roman"/>
      </w:rPr>
    </w:lvl>
    <w:lvl w:ilvl="3">
      <w:start w:val="1"/>
      <w:numFmt w:val="none"/>
      <w:pStyle w:val="4"/>
      <w:lvlText w:val=""/>
      <w:lvlJc w:val="left"/>
      <w:pPr>
        <w:tabs>
          <w:tab w:val="num" w:pos="4406"/>
        </w:tabs>
        <w:ind w:left="4406" w:hanging="864"/>
      </w:pPr>
      <w:rPr>
        <w:rFonts w:cs="Times New Roman"/>
      </w:rPr>
    </w:lvl>
    <w:lvl w:ilvl="4">
      <w:start w:val="1"/>
      <w:numFmt w:val="none"/>
      <w:lvlText w:val=""/>
      <w:lvlJc w:val="left"/>
      <w:pPr>
        <w:tabs>
          <w:tab w:val="num" w:pos="4550"/>
        </w:tabs>
        <w:ind w:left="4550" w:hanging="1008"/>
      </w:pPr>
      <w:rPr>
        <w:rFonts w:cs="Times New Roman"/>
      </w:rPr>
    </w:lvl>
    <w:lvl w:ilvl="5">
      <w:start w:val="1"/>
      <w:numFmt w:val="none"/>
      <w:lvlText w:val=""/>
      <w:lvlJc w:val="left"/>
      <w:pPr>
        <w:tabs>
          <w:tab w:val="num" w:pos="4694"/>
        </w:tabs>
        <w:ind w:left="4694" w:hanging="1152"/>
      </w:pPr>
      <w:rPr>
        <w:rFonts w:cs="Times New Roman"/>
      </w:rPr>
    </w:lvl>
    <w:lvl w:ilvl="6">
      <w:start w:val="1"/>
      <w:numFmt w:val="none"/>
      <w:lvlText w:val=""/>
      <w:lvlJc w:val="left"/>
      <w:pPr>
        <w:tabs>
          <w:tab w:val="num" w:pos="4838"/>
        </w:tabs>
        <w:ind w:left="4838" w:hanging="1296"/>
      </w:pPr>
      <w:rPr>
        <w:rFonts w:cs="Times New Roman"/>
      </w:rPr>
    </w:lvl>
    <w:lvl w:ilvl="7">
      <w:start w:val="1"/>
      <w:numFmt w:val="none"/>
      <w:lvlText w:val=""/>
      <w:lvlJc w:val="left"/>
      <w:pPr>
        <w:tabs>
          <w:tab w:val="num" w:pos="4982"/>
        </w:tabs>
        <w:ind w:left="4982" w:hanging="1440"/>
      </w:pPr>
      <w:rPr>
        <w:rFonts w:cs="Times New Roman"/>
      </w:rPr>
    </w:lvl>
    <w:lvl w:ilvl="8">
      <w:start w:val="1"/>
      <w:numFmt w:val="none"/>
      <w:lvlText w:val=""/>
      <w:lvlJc w:val="left"/>
      <w:pPr>
        <w:tabs>
          <w:tab w:val="num" w:pos="5126"/>
        </w:tabs>
        <w:ind w:left="5126" w:hanging="1584"/>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BDB"/>
    <w:rsid w:val="000E035B"/>
    <w:rsid w:val="00110824"/>
    <w:rsid w:val="00161665"/>
    <w:rsid w:val="00827BA4"/>
    <w:rsid w:val="00844A26"/>
    <w:rsid w:val="00D3792B"/>
    <w:rsid w:val="00D52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F45D8A-FADB-47F3-B8AF-C4DCE2A3C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824"/>
    <w:pPr>
      <w:suppressAutoHyphens/>
      <w:spacing w:after="0" w:line="240" w:lineRule="auto"/>
    </w:pPr>
    <w:rPr>
      <w:rFonts w:ascii="Times New Roman" w:hAnsi="Times New Roman"/>
      <w:sz w:val="24"/>
      <w:szCs w:val="24"/>
      <w:lang w:val="uk-UA" w:eastAsia="ar-SA"/>
    </w:rPr>
  </w:style>
  <w:style w:type="paragraph" w:styleId="1">
    <w:name w:val="heading 1"/>
    <w:basedOn w:val="a"/>
    <w:next w:val="a"/>
    <w:link w:val="10"/>
    <w:uiPriority w:val="99"/>
    <w:qFormat/>
    <w:rsid w:val="00110824"/>
    <w:pPr>
      <w:keepNext/>
      <w:numPr>
        <w:numId w:val="1"/>
      </w:numPr>
      <w:tabs>
        <w:tab w:val="num" w:pos="1850"/>
      </w:tabs>
      <w:spacing w:after="240"/>
      <w:ind w:left="1850"/>
      <w:jc w:val="center"/>
      <w:outlineLvl w:val="0"/>
    </w:pPr>
    <w:rPr>
      <w:rFonts w:ascii="Arial" w:hAnsi="Arial" w:cs="Times New Roman"/>
      <w:b/>
      <w:caps/>
      <w:sz w:val="20"/>
      <w:szCs w:val="22"/>
    </w:rPr>
  </w:style>
  <w:style w:type="paragraph" w:styleId="2">
    <w:name w:val="heading 2"/>
    <w:basedOn w:val="a"/>
    <w:next w:val="a"/>
    <w:link w:val="20"/>
    <w:uiPriority w:val="99"/>
    <w:qFormat/>
    <w:rsid w:val="00110824"/>
    <w:pPr>
      <w:keepNext/>
      <w:suppressAutoHyphens w:val="0"/>
      <w:spacing w:before="240" w:after="60"/>
      <w:outlineLvl w:val="1"/>
    </w:pPr>
    <w:rPr>
      <w:rFonts w:ascii="Arial" w:hAnsi="Arial" w:cs="Times New Roman"/>
      <w:b/>
      <w:i/>
      <w:sz w:val="28"/>
      <w:szCs w:val="22"/>
      <w:lang w:val="x-none" w:eastAsia="ru-RU"/>
    </w:rPr>
  </w:style>
  <w:style w:type="paragraph" w:styleId="3">
    <w:name w:val="heading 3"/>
    <w:basedOn w:val="a"/>
    <w:next w:val="a"/>
    <w:link w:val="30"/>
    <w:uiPriority w:val="99"/>
    <w:qFormat/>
    <w:rsid w:val="00110824"/>
    <w:pPr>
      <w:keepNext/>
      <w:numPr>
        <w:ilvl w:val="2"/>
        <w:numId w:val="1"/>
      </w:numPr>
      <w:tabs>
        <w:tab w:val="num" w:pos="2138"/>
      </w:tabs>
      <w:spacing w:after="120"/>
      <w:ind w:firstLine="658"/>
      <w:outlineLvl w:val="2"/>
    </w:pPr>
    <w:rPr>
      <w:rFonts w:ascii="Arial" w:hAnsi="Arial" w:cs="Times New Roman"/>
      <w:i/>
      <w:sz w:val="18"/>
      <w:szCs w:val="22"/>
    </w:rPr>
  </w:style>
  <w:style w:type="paragraph" w:styleId="4">
    <w:name w:val="heading 4"/>
    <w:basedOn w:val="a"/>
    <w:next w:val="a"/>
    <w:link w:val="40"/>
    <w:uiPriority w:val="99"/>
    <w:qFormat/>
    <w:rsid w:val="00110824"/>
    <w:pPr>
      <w:keepNext/>
      <w:widowControl w:val="0"/>
      <w:numPr>
        <w:ilvl w:val="3"/>
        <w:numId w:val="1"/>
      </w:numPr>
      <w:ind w:firstLine="560"/>
      <w:outlineLvl w:val="3"/>
    </w:pPr>
    <w:rPr>
      <w:rFonts w:cs="Times New Roman"/>
      <w:b/>
      <w:i/>
      <w:sz w:val="20"/>
      <w:szCs w:val="22"/>
    </w:rPr>
  </w:style>
  <w:style w:type="paragraph" w:styleId="5">
    <w:name w:val="heading 5"/>
    <w:basedOn w:val="a"/>
    <w:next w:val="a"/>
    <w:link w:val="50"/>
    <w:uiPriority w:val="99"/>
    <w:qFormat/>
    <w:rsid w:val="00110824"/>
    <w:pPr>
      <w:suppressAutoHyphens w:val="0"/>
      <w:spacing w:before="240" w:after="60"/>
      <w:outlineLvl w:val="4"/>
    </w:pPr>
    <w:rPr>
      <w:rFonts w:cs="Times New Roman"/>
      <w:b/>
      <w:i/>
      <w:sz w:val="26"/>
      <w:szCs w:val="22"/>
      <w:lang w:val="x-none" w:eastAsia="ru-RU"/>
    </w:rPr>
  </w:style>
  <w:style w:type="paragraph" w:styleId="6">
    <w:name w:val="heading 6"/>
    <w:basedOn w:val="a"/>
    <w:next w:val="a"/>
    <w:link w:val="60"/>
    <w:uiPriority w:val="99"/>
    <w:qFormat/>
    <w:rsid w:val="00110824"/>
    <w:pPr>
      <w:suppressAutoHyphens w:val="0"/>
      <w:spacing w:before="240" w:after="60"/>
      <w:outlineLvl w:val="5"/>
    </w:pPr>
    <w:rPr>
      <w:rFonts w:cs="Times New Roman"/>
      <w:b/>
      <w:sz w:val="22"/>
      <w:szCs w:val="22"/>
      <w:lang w:val="x-none" w:eastAsia="ru-RU"/>
    </w:rPr>
  </w:style>
  <w:style w:type="paragraph" w:styleId="7">
    <w:name w:val="heading 7"/>
    <w:basedOn w:val="a"/>
    <w:next w:val="a"/>
    <w:link w:val="70"/>
    <w:uiPriority w:val="9"/>
    <w:unhideWhenUsed/>
    <w:qFormat/>
    <w:rsid w:val="00110824"/>
    <w:pPr>
      <w:spacing w:before="240" w:after="60"/>
      <w:outlineLvl w:val="6"/>
    </w:pPr>
    <w:rPr>
      <w:rFonts w:asciiTheme="minorHAnsi" w:eastAsiaTheme="minorEastAsia" w:hAnsiTheme="minorHAns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10824"/>
    <w:rPr>
      <w:rFonts w:ascii="Arial" w:hAnsi="Arial" w:cs="Times New Roman"/>
      <w:b/>
      <w:caps/>
      <w:sz w:val="20"/>
      <w:lang w:val="uk-UA" w:eastAsia="ar-SA"/>
    </w:rPr>
  </w:style>
  <w:style w:type="character" w:customStyle="1" w:styleId="20">
    <w:name w:val="Заголовок 2 Знак"/>
    <w:basedOn w:val="a0"/>
    <w:link w:val="2"/>
    <w:uiPriority w:val="99"/>
    <w:rsid w:val="00110824"/>
    <w:rPr>
      <w:rFonts w:ascii="Arial" w:hAnsi="Arial" w:cs="Times New Roman"/>
      <w:b/>
      <w:i/>
      <w:sz w:val="28"/>
      <w:lang w:val="x-none" w:eastAsia="ru-RU"/>
    </w:rPr>
  </w:style>
  <w:style w:type="character" w:customStyle="1" w:styleId="30">
    <w:name w:val="Заголовок 3 Знак"/>
    <w:basedOn w:val="a0"/>
    <w:link w:val="3"/>
    <w:uiPriority w:val="99"/>
    <w:rsid w:val="00110824"/>
    <w:rPr>
      <w:rFonts w:ascii="Arial" w:hAnsi="Arial" w:cs="Times New Roman"/>
      <w:i/>
      <w:sz w:val="18"/>
      <w:lang w:val="uk-UA" w:eastAsia="ar-SA"/>
    </w:rPr>
  </w:style>
  <w:style w:type="character" w:customStyle="1" w:styleId="40">
    <w:name w:val="Заголовок 4 Знак"/>
    <w:basedOn w:val="a0"/>
    <w:link w:val="4"/>
    <w:uiPriority w:val="99"/>
    <w:rsid w:val="00110824"/>
    <w:rPr>
      <w:rFonts w:ascii="Times New Roman" w:hAnsi="Times New Roman" w:cs="Times New Roman"/>
      <w:b/>
      <w:i/>
      <w:sz w:val="20"/>
      <w:lang w:val="uk-UA" w:eastAsia="ar-SA"/>
    </w:rPr>
  </w:style>
  <w:style w:type="character" w:customStyle="1" w:styleId="50">
    <w:name w:val="Заголовок 5 Знак"/>
    <w:basedOn w:val="a0"/>
    <w:link w:val="5"/>
    <w:uiPriority w:val="99"/>
    <w:rsid w:val="00110824"/>
    <w:rPr>
      <w:rFonts w:ascii="Times New Roman" w:hAnsi="Times New Roman" w:cs="Times New Roman"/>
      <w:b/>
      <w:i/>
      <w:sz w:val="26"/>
      <w:lang w:val="x-none" w:eastAsia="ru-RU"/>
    </w:rPr>
  </w:style>
  <w:style w:type="character" w:customStyle="1" w:styleId="60">
    <w:name w:val="Заголовок 6 Знак"/>
    <w:basedOn w:val="a0"/>
    <w:link w:val="6"/>
    <w:uiPriority w:val="99"/>
    <w:rsid w:val="00110824"/>
    <w:rPr>
      <w:rFonts w:ascii="Times New Roman" w:hAnsi="Times New Roman" w:cs="Times New Roman"/>
      <w:b/>
      <w:lang w:val="x-none" w:eastAsia="ru-RU"/>
    </w:rPr>
  </w:style>
  <w:style w:type="character" w:customStyle="1" w:styleId="70">
    <w:name w:val="Заголовок 7 Знак"/>
    <w:basedOn w:val="a0"/>
    <w:link w:val="7"/>
    <w:uiPriority w:val="9"/>
    <w:rsid w:val="00110824"/>
    <w:rPr>
      <w:rFonts w:asciiTheme="minorHAnsi" w:eastAsiaTheme="minorEastAsia" w:hAnsiTheme="minorHAnsi" w:cs="Times New Roman"/>
      <w:sz w:val="24"/>
      <w:szCs w:val="24"/>
      <w:lang w:val="uk-UA" w:eastAsia="ar-SA"/>
    </w:rPr>
  </w:style>
  <w:style w:type="character" w:styleId="a3">
    <w:name w:val="Strong"/>
    <w:basedOn w:val="a0"/>
    <w:uiPriority w:val="99"/>
    <w:qFormat/>
    <w:rsid w:val="00110824"/>
    <w:rPr>
      <w:rFonts w:cs="Times New Roman"/>
      <w:b/>
      <w:bCs/>
    </w:rPr>
  </w:style>
  <w:style w:type="character" w:styleId="a4">
    <w:name w:val="Emphasis"/>
    <w:basedOn w:val="a0"/>
    <w:uiPriority w:val="99"/>
    <w:qFormat/>
    <w:rsid w:val="00110824"/>
    <w:rPr>
      <w:rFonts w:cs="Times New Roman"/>
      <w:i/>
      <w:iCs/>
    </w:rPr>
  </w:style>
  <w:style w:type="paragraph" w:styleId="a5">
    <w:name w:val="No Spacing"/>
    <w:uiPriority w:val="99"/>
    <w:qFormat/>
    <w:rsid w:val="00110824"/>
    <w:pPr>
      <w:spacing w:after="0" w:line="240" w:lineRule="auto"/>
    </w:pPr>
    <w:rPr>
      <w:rFonts w:ascii="Times New Roman" w:hAnsi="Times New Roman" w:cs="Times New Roman"/>
      <w:sz w:val="28"/>
      <w:szCs w:val="24"/>
    </w:rPr>
  </w:style>
  <w:style w:type="paragraph" w:styleId="a6">
    <w:name w:val="List Paragraph"/>
    <w:basedOn w:val="a"/>
    <w:uiPriority w:val="99"/>
    <w:qFormat/>
    <w:rsid w:val="00110824"/>
    <w:pPr>
      <w:suppressAutoHyphens w:val="0"/>
      <w:ind w:left="720"/>
    </w:pPr>
    <w:rPr>
      <w:rFonts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1935</Words>
  <Characters>11036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4</cp:revision>
  <dcterms:created xsi:type="dcterms:W3CDTF">2023-09-10T09:52:00Z</dcterms:created>
  <dcterms:modified xsi:type="dcterms:W3CDTF">2025-10-05T16:28:00Z</dcterms:modified>
</cp:coreProperties>
</file>