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59" w:rsidRPr="00AF6E59" w:rsidRDefault="00AF6E59" w:rsidP="00AF6E59">
      <w:pPr>
        <w:pStyle w:val="a5"/>
        <w:spacing w:line="360" w:lineRule="auto"/>
        <w:rPr>
          <w:b/>
          <w:caps/>
          <w:szCs w:val="28"/>
        </w:rPr>
      </w:pPr>
      <w:r w:rsidRPr="00AF6E59">
        <w:rPr>
          <w:b/>
          <w:caps/>
          <w:szCs w:val="28"/>
        </w:rPr>
        <w:t>Т</w:t>
      </w:r>
      <w:bookmarkStart w:id="0" w:name="_GoBack"/>
      <w:bookmarkEnd w:id="0"/>
      <w:r w:rsidRPr="00AF6E59">
        <w:rPr>
          <w:b/>
          <w:caps/>
          <w:szCs w:val="28"/>
        </w:rPr>
        <w:t>ема. Контроль в освітньому процесі.</w:t>
      </w:r>
    </w:p>
    <w:p w:rsidR="00AF6E59" w:rsidRPr="00AF6E59" w:rsidRDefault="00AF6E59" w:rsidP="00AF6E59">
      <w:pPr>
        <w:pStyle w:val="a5"/>
        <w:spacing w:line="360" w:lineRule="auto"/>
        <w:rPr>
          <w:i/>
          <w:szCs w:val="28"/>
          <w:lang w:val="uk-UA" w:eastAsia="ru-RU"/>
        </w:rPr>
      </w:pPr>
      <w:r>
        <w:rPr>
          <w:i/>
          <w:szCs w:val="28"/>
          <w:lang w:val="uk-UA" w:eastAsia="ru-RU"/>
        </w:rPr>
        <w:t>План:</w:t>
      </w:r>
    </w:p>
    <w:p w:rsidR="00AF6E59" w:rsidRPr="00AF6E59" w:rsidRDefault="00AF6E59" w:rsidP="00AF6E59">
      <w:pPr>
        <w:pStyle w:val="a5"/>
        <w:spacing w:line="360" w:lineRule="auto"/>
        <w:rPr>
          <w:szCs w:val="28"/>
        </w:rPr>
      </w:pPr>
      <w:r w:rsidRPr="00AF6E59">
        <w:rPr>
          <w:szCs w:val="28"/>
        </w:rPr>
        <w:t xml:space="preserve">1. Контроль у </w:t>
      </w:r>
      <w:proofErr w:type="spellStart"/>
      <w:r w:rsidRPr="00AF6E59">
        <w:rPr>
          <w:szCs w:val="28"/>
        </w:rPr>
        <w:t>системі</w:t>
      </w:r>
      <w:proofErr w:type="spellEnd"/>
      <w:r w:rsidRPr="00AF6E59">
        <w:rPr>
          <w:szCs w:val="28"/>
        </w:rPr>
        <w:t xml:space="preserve"> </w:t>
      </w:r>
      <w:proofErr w:type="spellStart"/>
      <w:r w:rsidRPr="00AF6E59">
        <w:rPr>
          <w:szCs w:val="28"/>
        </w:rPr>
        <w:t>забезпечення</w:t>
      </w:r>
      <w:proofErr w:type="spellEnd"/>
      <w:r w:rsidRPr="00AF6E59">
        <w:rPr>
          <w:szCs w:val="28"/>
        </w:rPr>
        <w:t xml:space="preserve"> </w:t>
      </w:r>
      <w:proofErr w:type="spellStart"/>
      <w:r w:rsidRPr="00AF6E59">
        <w:rPr>
          <w:szCs w:val="28"/>
        </w:rPr>
        <w:t>якості</w:t>
      </w:r>
      <w:proofErr w:type="spellEnd"/>
      <w:r w:rsidRPr="00AF6E59">
        <w:rPr>
          <w:szCs w:val="28"/>
        </w:rPr>
        <w:t xml:space="preserve"> </w:t>
      </w:r>
      <w:proofErr w:type="spellStart"/>
      <w:r w:rsidRPr="00AF6E59">
        <w:rPr>
          <w:szCs w:val="28"/>
        </w:rPr>
        <w:t>освіти</w:t>
      </w:r>
      <w:proofErr w:type="spellEnd"/>
    </w:p>
    <w:p w:rsidR="00AF6E59" w:rsidRPr="00AF6E59" w:rsidRDefault="00AF6E59" w:rsidP="00AF6E59">
      <w:pPr>
        <w:pStyle w:val="a5"/>
        <w:spacing w:line="360" w:lineRule="auto"/>
        <w:rPr>
          <w:szCs w:val="28"/>
        </w:rPr>
      </w:pPr>
      <w:r w:rsidRPr="00AF6E59">
        <w:rPr>
          <w:szCs w:val="28"/>
        </w:rPr>
        <w:t xml:space="preserve">2. </w:t>
      </w:r>
      <w:proofErr w:type="spellStart"/>
      <w:r w:rsidRPr="00AF6E59">
        <w:rPr>
          <w:szCs w:val="28"/>
        </w:rPr>
        <w:t>Суб’єкти</w:t>
      </w:r>
      <w:proofErr w:type="spellEnd"/>
      <w:r w:rsidRPr="00AF6E59">
        <w:rPr>
          <w:szCs w:val="28"/>
        </w:rPr>
        <w:t xml:space="preserve"> та </w:t>
      </w:r>
      <w:proofErr w:type="spellStart"/>
      <w:r w:rsidRPr="00AF6E59">
        <w:rPr>
          <w:szCs w:val="28"/>
        </w:rPr>
        <w:t>об’єкти</w:t>
      </w:r>
      <w:proofErr w:type="spellEnd"/>
      <w:r w:rsidRPr="00AF6E59">
        <w:rPr>
          <w:szCs w:val="28"/>
        </w:rPr>
        <w:t xml:space="preserve"> контролю в </w:t>
      </w:r>
      <w:proofErr w:type="spellStart"/>
      <w:r w:rsidRPr="00AF6E59">
        <w:rPr>
          <w:szCs w:val="28"/>
        </w:rPr>
        <w:t>освіті</w:t>
      </w:r>
      <w:proofErr w:type="spellEnd"/>
    </w:p>
    <w:p w:rsidR="00AF6E59" w:rsidRPr="00AF6E59" w:rsidRDefault="00AF6E59" w:rsidP="00AF6E59">
      <w:pPr>
        <w:pStyle w:val="a5"/>
        <w:spacing w:line="360" w:lineRule="auto"/>
        <w:rPr>
          <w:szCs w:val="28"/>
        </w:rPr>
      </w:pPr>
      <w:r w:rsidRPr="00AF6E59">
        <w:rPr>
          <w:szCs w:val="28"/>
        </w:rPr>
        <w:t xml:space="preserve">3. </w:t>
      </w:r>
      <w:proofErr w:type="spellStart"/>
      <w:r w:rsidRPr="00AF6E59">
        <w:rPr>
          <w:szCs w:val="28"/>
        </w:rPr>
        <w:t>Види</w:t>
      </w:r>
      <w:proofErr w:type="spellEnd"/>
      <w:r w:rsidRPr="00AF6E59">
        <w:rPr>
          <w:szCs w:val="28"/>
        </w:rPr>
        <w:t xml:space="preserve"> контролю: </w:t>
      </w:r>
      <w:proofErr w:type="spellStart"/>
      <w:r w:rsidRPr="00AF6E59">
        <w:rPr>
          <w:szCs w:val="28"/>
        </w:rPr>
        <w:t>державний</w:t>
      </w:r>
      <w:proofErr w:type="spellEnd"/>
      <w:r w:rsidRPr="00AF6E59">
        <w:rPr>
          <w:szCs w:val="28"/>
        </w:rPr>
        <w:t xml:space="preserve"> </w:t>
      </w:r>
      <w:proofErr w:type="spellStart"/>
      <w:r w:rsidRPr="00AF6E59">
        <w:rPr>
          <w:szCs w:val="28"/>
        </w:rPr>
        <w:t>vs</w:t>
      </w:r>
      <w:proofErr w:type="spellEnd"/>
      <w:r w:rsidRPr="00AF6E59">
        <w:rPr>
          <w:szCs w:val="28"/>
        </w:rPr>
        <w:t xml:space="preserve">. </w:t>
      </w:r>
      <w:proofErr w:type="spellStart"/>
      <w:r w:rsidRPr="00AF6E59">
        <w:rPr>
          <w:szCs w:val="28"/>
        </w:rPr>
        <w:t>внутрішній</w:t>
      </w:r>
      <w:proofErr w:type="spellEnd"/>
    </w:p>
    <w:p w:rsidR="00AF6E59" w:rsidRPr="00AF6E59" w:rsidRDefault="00AF6E59" w:rsidP="00AF6E59">
      <w:pPr>
        <w:spacing w:line="360" w:lineRule="auto"/>
        <w:rPr>
          <w:sz w:val="28"/>
          <w:szCs w:val="28"/>
        </w:rPr>
      </w:pPr>
      <w:r w:rsidRPr="00AF6E59">
        <w:rPr>
          <w:sz w:val="28"/>
          <w:szCs w:val="28"/>
        </w:rPr>
        <w:t>4. Принципи та критерії оцінювання якості</w:t>
      </w:r>
    </w:p>
    <w:p w:rsidR="00AF6E59" w:rsidRPr="00AF6E59" w:rsidRDefault="00AF6E59" w:rsidP="00AF6E59">
      <w:pPr>
        <w:pStyle w:val="a5"/>
        <w:spacing w:line="360" w:lineRule="auto"/>
        <w:ind w:firstLine="709"/>
        <w:jc w:val="both"/>
      </w:pPr>
    </w:p>
    <w:p w:rsidR="00AF6E59" w:rsidRPr="00AF6E59" w:rsidRDefault="00AF6E59" w:rsidP="00AF6E59">
      <w:pPr>
        <w:pStyle w:val="a5"/>
        <w:spacing w:line="360" w:lineRule="auto"/>
        <w:ind w:firstLine="709"/>
        <w:jc w:val="both"/>
      </w:pPr>
      <w:r w:rsidRPr="00AF6E59">
        <w:t>Контроль як складова системи забезпечення якості освіти є ключовим інструментом управління, що дозволяє виявити відповідність фактичного стану освітньої діяльності встановленим нормам, стандартам і очікуваним результатам. У сучасних умовах реформування освіти, інтеграції до Європейського простору вищої освіти та підвищення вимог до якості навчального процесу, контроль набуває системного, аналітичного та прогностичного характеру.</w:t>
      </w:r>
    </w:p>
    <w:p w:rsidR="00AF6E59" w:rsidRPr="00AF6E59" w:rsidRDefault="00AF6E59" w:rsidP="00AF6E59">
      <w:pPr>
        <w:pStyle w:val="a5"/>
        <w:spacing w:line="26" w:lineRule="atLeast"/>
      </w:pPr>
    </w:p>
    <w:p w:rsidR="00AF6E59" w:rsidRPr="00AF6E59" w:rsidRDefault="00AF6E59" w:rsidP="00AF6E59">
      <w:pPr>
        <w:pStyle w:val="a5"/>
        <w:spacing w:line="26" w:lineRule="atLeast"/>
        <w:rPr>
          <w:lang w:val="uk-UA"/>
        </w:rPr>
      </w:pPr>
      <w:r w:rsidRPr="00AF6E59">
        <w:t xml:space="preserve">Суб’єкти та об’єкти контролю в </w:t>
      </w:r>
      <w:proofErr w:type="spellStart"/>
      <w:r w:rsidRPr="00AF6E59">
        <w:t>освітньому</w:t>
      </w:r>
      <w:proofErr w:type="spellEnd"/>
      <w:r w:rsidRPr="00AF6E59">
        <w:t xml:space="preserve"> </w:t>
      </w:r>
      <w:proofErr w:type="spellStart"/>
      <w:r w:rsidRPr="00AF6E59">
        <w:t>процесі</w:t>
      </w:r>
      <w:proofErr w:type="spellEnd"/>
      <w:r>
        <w:rPr>
          <w:lang w:val="uk-UA"/>
        </w:rPr>
        <w:t xml:space="preserve">. </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У системі контролю чітко виокремлюються суб’єкти (ті, хто здійснює контроль) та об’єкти (ті, чия діяльність контролюється).</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Суб’єкти контролю:</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держава в особі органів управління освітою (МОН, Державна служба якості освіти, НАЗЯВО тощо);</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зовнішні незалежні агенції (акредитаційні установи);</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адміністрація закладу освіти;</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внутрішні структурні підрозділи (наприклад, відділи моніторингу якості);</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педагогічні ради, методичні комісії;</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здобувачі освіти (</w:t>
      </w:r>
      <w:proofErr w:type="gramStart"/>
      <w:r w:rsidRPr="00AF6E59">
        <w:t>у межах</w:t>
      </w:r>
      <w:proofErr w:type="gramEnd"/>
      <w:r w:rsidRPr="00AF6E59">
        <w:t xml:space="preserve"> самоконтролю або зворотного зв’язку);</w:t>
      </w:r>
    </w:p>
    <w:p w:rsidR="00AF6E59" w:rsidRPr="00AF6E59" w:rsidRDefault="00AF6E59" w:rsidP="00AF6E59">
      <w:pPr>
        <w:pStyle w:val="a5"/>
        <w:spacing w:line="26" w:lineRule="atLeast"/>
      </w:pPr>
    </w:p>
    <w:p w:rsidR="00AF6E59" w:rsidRPr="00AF6E59" w:rsidRDefault="00AF6E59" w:rsidP="00AF6E59">
      <w:pPr>
        <w:pStyle w:val="a5"/>
        <w:numPr>
          <w:ilvl w:val="0"/>
          <w:numId w:val="10"/>
        </w:numPr>
        <w:spacing w:line="26" w:lineRule="atLeast"/>
      </w:pPr>
      <w:r w:rsidRPr="00AF6E59">
        <w:t>роботодавці (через експертизу освітніх програм, участь у формуванні стандартів).</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Об’єкти контролю:</w:t>
      </w:r>
    </w:p>
    <w:p w:rsidR="00AF6E59" w:rsidRPr="00AF6E59" w:rsidRDefault="00AF6E59" w:rsidP="00AF6E59">
      <w:pPr>
        <w:pStyle w:val="a5"/>
        <w:spacing w:line="26" w:lineRule="atLeast"/>
      </w:pPr>
    </w:p>
    <w:p w:rsidR="00AF6E59" w:rsidRPr="00AF6E59" w:rsidRDefault="00AF6E59" w:rsidP="00AF6E59">
      <w:pPr>
        <w:pStyle w:val="a5"/>
        <w:numPr>
          <w:ilvl w:val="0"/>
          <w:numId w:val="11"/>
        </w:numPr>
        <w:spacing w:line="26" w:lineRule="atLeast"/>
      </w:pPr>
      <w:r w:rsidRPr="00AF6E59">
        <w:t>якість освітньої програми;</w:t>
      </w:r>
    </w:p>
    <w:p w:rsidR="00AF6E59" w:rsidRPr="00AF6E59" w:rsidRDefault="00AF6E59" w:rsidP="00AF6E59">
      <w:pPr>
        <w:pStyle w:val="a5"/>
        <w:spacing w:line="26" w:lineRule="atLeast"/>
      </w:pPr>
    </w:p>
    <w:p w:rsidR="00AF6E59" w:rsidRPr="00AF6E59" w:rsidRDefault="00AF6E59" w:rsidP="00AF6E59">
      <w:pPr>
        <w:pStyle w:val="a5"/>
        <w:numPr>
          <w:ilvl w:val="0"/>
          <w:numId w:val="11"/>
        </w:numPr>
        <w:spacing w:line="26" w:lineRule="atLeast"/>
      </w:pPr>
      <w:r w:rsidRPr="00AF6E59">
        <w:t>зміст навчальних дисциплін;</w:t>
      </w:r>
    </w:p>
    <w:p w:rsidR="00AF6E59" w:rsidRPr="00AF6E59" w:rsidRDefault="00AF6E59" w:rsidP="00AF6E59">
      <w:pPr>
        <w:pStyle w:val="a5"/>
        <w:spacing w:line="26" w:lineRule="atLeast"/>
      </w:pPr>
    </w:p>
    <w:p w:rsidR="00AF6E59" w:rsidRPr="00AF6E59" w:rsidRDefault="00AF6E59" w:rsidP="00AF6E59">
      <w:pPr>
        <w:pStyle w:val="a5"/>
        <w:numPr>
          <w:ilvl w:val="0"/>
          <w:numId w:val="11"/>
        </w:numPr>
        <w:spacing w:line="26" w:lineRule="atLeast"/>
      </w:pPr>
      <w:r w:rsidRPr="00AF6E59">
        <w:t>рівень навчальних досягнень здобувачів освіти;</w:t>
      </w:r>
    </w:p>
    <w:p w:rsidR="00AF6E59" w:rsidRPr="00AF6E59" w:rsidRDefault="00AF6E59" w:rsidP="00AF6E59">
      <w:pPr>
        <w:pStyle w:val="a5"/>
        <w:spacing w:line="26" w:lineRule="atLeast"/>
      </w:pPr>
    </w:p>
    <w:p w:rsidR="00AF6E59" w:rsidRPr="00AF6E59" w:rsidRDefault="00AF6E59" w:rsidP="00AF6E59">
      <w:pPr>
        <w:pStyle w:val="a5"/>
        <w:numPr>
          <w:ilvl w:val="0"/>
          <w:numId w:val="11"/>
        </w:numPr>
        <w:spacing w:line="26" w:lineRule="atLeast"/>
      </w:pPr>
      <w:r w:rsidRPr="00AF6E59">
        <w:t>професійна діяльність викладачів або вчителів;</w:t>
      </w:r>
    </w:p>
    <w:p w:rsidR="00AF6E59" w:rsidRPr="00AF6E59" w:rsidRDefault="00AF6E59" w:rsidP="00AF6E59">
      <w:pPr>
        <w:pStyle w:val="a5"/>
        <w:spacing w:line="26" w:lineRule="atLeast"/>
      </w:pPr>
    </w:p>
    <w:p w:rsidR="00AF6E59" w:rsidRPr="00AF6E59" w:rsidRDefault="00AF6E59" w:rsidP="00AF6E59">
      <w:pPr>
        <w:pStyle w:val="a5"/>
        <w:numPr>
          <w:ilvl w:val="0"/>
          <w:numId w:val="11"/>
        </w:numPr>
        <w:spacing w:line="26" w:lineRule="atLeast"/>
      </w:pPr>
      <w:r w:rsidRPr="00AF6E59">
        <w:t>навчально-методичне та матеріально-технічне забезпечення;</w:t>
      </w:r>
    </w:p>
    <w:p w:rsidR="00AF6E59" w:rsidRPr="00AF6E59" w:rsidRDefault="00AF6E59" w:rsidP="00AF6E59">
      <w:pPr>
        <w:pStyle w:val="a5"/>
        <w:spacing w:line="26" w:lineRule="atLeast"/>
      </w:pPr>
    </w:p>
    <w:p w:rsidR="00AF6E59" w:rsidRPr="00AF6E59" w:rsidRDefault="00AF6E59" w:rsidP="00AF6E59">
      <w:pPr>
        <w:pStyle w:val="a5"/>
        <w:numPr>
          <w:ilvl w:val="0"/>
          <w:numId w:val="11"/>
        </w:numPr>
        <w:spacing w:line="26" w:lineRule="atLeast"/>
      </w:pPr>
      <w:r w:rsidRPr="00AF6E59">
        <w:t>управлінські процеси в освітньому середовищі.</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Державний та внутрішній контроль: основні відмінності</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Контроль у системі освіти поділяється на державний (зовнішній) та внутрішній.</w:t>
      </w:r>
    </w:p>
    <w:p w:rsidR="00AF6E59" w:rsidRPr="00AF6E59" w:rsidRDefault="00AF6E59" w:rsidP="00AF6E59">
      <w:pPr>
        <w:numPr>
          <w:ilvl w:val="0"/>
          <w:numId w:val="1"/>
        </w:numPr>
        <w:tabs>
          <w:tab w:val="clear" w:pos="3974"/>
        </w:tabs>
        <w:suppressAutoHyphens w:val="0"/>
        <w:spacing w:before="100" w:beforeAutospacing="1" w:after="100" w:afterAutospacing="1"/>
        <w:ind w:left="0" w:firstLine="0"/>
        <w:outlineLvl w:val="2"/>
        <w:rPr>
          <w:rFonts w:cs="Times New Roman"/>
          <w:b/>
          <w:bCs/>
          <w:sz w:val="27"/>
          <w:szCs w:val="27"/>
          <w:lang w:val="ru-RU" w:eastAsia="ru-RU"/>
        </w:rPr>
      </w:pPr>
      <w:proofErr w:type="spellStart"/>
      <w:r w:rsidRPr="00AF6E59">
        <w:rPr>
          <w:rFonts w:cs="Times New Roman"/>
          <w:b/>
          <w:bCs/>
          <w:sz w:val="27"/>
          <w:szCs w:val="27"/>
          <w:lang w:val="ru-RU" w:eastAsia="ru-RU"/>
        </w:rPr>
        <w:t>Державний</w:t>
      </w:r>
      <w:proofErr w:type="spellEnd"/>
      <w:r w:rsidRPr="00AF6E59">
        <w:rPr>
          <w:rFonts w:cs="Times New Roman"/>
          <w:b/>
          <w:bCs/>
          <w:sz w:val="27"/>
          <w:szCs w:val="27"/>
          <w:lang w:val="ru-RU" w:eastAsia="ru-RU"/>
        </w:rPr>
        <w:t xml:space="preserve"> та </w:t>
      </w:r>
      <w:proofErr w:type="spellStart"/>
      <w:r w:rsidRPr="00AF6E59">
        <w:rPr>
          <w:rFonts w:cs="Times New Roman"/>
          <w:b/>
          <w:bCs/>
          <w:sz w:val="27"/>
          <w:szCs w:val="27"/>
          <w:lang w:val="ru-RU" w:eastAsia="ru-RU"/>
        </w:rPr>
        <w:t>внутрішній</w:t>
      </w:r>
      <w:proofErr w:type="spellEnd"/>
      <w:r w:rsidRPr="00AF6E59">
        <w:rPr>
          <w:rFonts w:cs="Times New Roman"/>
          <w:b/>
          <w:bCs/>
          <w:sz w:val="27"/>
          <w:szCs w:val="27"/>
          <w:lang w:val="ru-RU" w:eastAsia="ru-RU"/>
        </w:rPr>
        <w:t xml:space="preserve"> контроль: </w:t>
      </w:r>
      <w:proofErr w:type="spellStart"/>
      <w:r w:rsidRPr="00AF6E59">
        <w:rPr>
          <w:rFonts w:cs="Times New Roman"/>
          <w:b/>
          <w:bCs/>
          <w:sz w:val="27"/>
          <w:szCs w:val="27"/>
          <w:lang w:val="ru-RU" w:eastAsia="ru-RU"/>
        </w:rPr>
        <w:t>основні</w:t>
      </w:r>
      <w:proofErr w:type="spellEnd"/>
      <w:r w:rsidRPr="00AF6E59">
        <w:rPr>
          <w:rFonts w:cs="Times New Roman"/>
          <w:b/>
          <w:bCs/>
          <w:sz w:val="27"/>
          <w:szCs w:val="27"/>
          <w:lang w:val="ru-RU" w:eastAsia="ru-RU"/>
        </w:rPr>
        <w:t xml:space="preserve"> </w:t>
      </w:r>
      <w:proofErr w:type="spellStart"/>
      <w:r w:rsidRPr="00AF6E59">
        <w:rPr>
          <w:rFonts w:cs="Times New Roman"/>
          <w:b/>
          <w:bCs/>
          <w:sz w:val="27"/>
          <w:szCs w:val="27"/>
          <w:lang w:val="ru-RU" w:eastAsia="ru-RU"/>
        </w:rPr>
        <w:t>відмінності</w:t>
      </w:r>
      <w:proofErr w:type="spellEnd"/>
    </w:p>
    <w:p w:rsidR="00AF6E59" w:rsidRPr="00AF6E59" w:rsidRDefault="00AF6E59" w:rsidP="00AF6E59">
      <w:pPr>
        <w:suppressAutoHyphens w:val="0"/>
        <w:spacing w:before="100" w:beforeAutospacing="1" w:after="100" w:afterAutospacing="1"/>
        <w:rPr>
          <w:rFonts w:cs="Times New Roman"/>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8"/>
        <w:gridCol w:w="3890"/>
        <w:gridCol w:w="3587"/>
      </w:tblGrid>
      <w:tr w:rsidR="00AF6E59" w:rsidRPr="00AF6E59" w:rsidTr="00AF6E59">
        <w:trPr>
          <w:tblHeader/>
          <w:tblCellSpacing w:w="15" w:type="dxa"/>
        </w:trPr>
        <w:tc>
          <w:tcPr>
            <w:tcW w:w="0" w:type="auto"/>
            <w:vAlign w:val="center"/>
            <w:hideMark/>
          </w:tcPr>
          <w:p w:rsidR="00AF6E59" w:rsidRPr="00AF6E59" w:rsidRDefault="00AF6E59" w:rsidP="00AF6E59">
            <w:pPr>
              <w:suppressAutoHyphens w:val="0"/>
              <w:jc w:val="center"/>
              <w:rPr>
                <w:rFonts w:cs="Times New Roman"/>
                <w:b/>
                <w:bCs/>
                <w:lang w:val="ru-RU" w:eastAsia="ru-RU"/>
              </w:rPr>
            </w:pPr>
            <w:r w:rsidRPr="00AF6E59">
              <w:rPr>
                <w:rFonts w:cs="Times New Roman"/>
                <w:b/>
                <w:bCs/>
                <w:lang w:val="ru-RU" w:eastAsia="ru-RU"/>
              </w:rPr>
              <w:t>Характеристика</w:t>
            </w:r>
          </w:p>
        </w:tc>
        <w:tc>
          <w:tcPr>
            <w:tcW w:w="0" w:type="auto"/>
            <w:vAlign w:val="center"/>
            <w:hideMark/>
          </w:tcPr>
          <w:p w:rsidR="00AF6E59" w:rsidRPr="00AF6E59" w:rsidRDefault="00AF6E59" w:rsidP="00AF6E59">
            <w:pPr>
              <w:suppressAutoHyphens w:val="0"/>
              <w:jc w:val="center"/>
              <w:rPr>
                <w:rFonts w:cs="Times New Roman"/>
                <w:b/>
                <w:bCs/>
                <w:lang w:val="ru-RU" w:eastAsia="ru-RU"/>
              </w:rPr>
            </w:pPr>
            <w:proofErr w:type="spellStart"/>
            <w:r w:rsidRPr="00AF6E59">
              <w:rPr>
                <w:rFonts w:cs="Times New Roman"/>
                <w:b/>
                <w:bCs/>
                <w:lang w:val="ru-RU" w:eastAsia="ru-RU"/>
              </w:rPr>
              <w:t>Державний</w:t>
            </w:r>
            <w:proofErr w:type="spellEnd"/>
            <w:r w:rsidRPr="00AF6E59">
              <w:rPr>
                <w:rFonts w:cs="Times New Roman"/>
                <w:b/>
                <w:bCs/>
                <w:lang w:val="ru-RU" w:eastAsia="ru-RU"/>
              </w:rPr>
              <w:t xml:space="preserve"> контроль</w:t>
            </w:r>
          </w:p>
        </w:tc>
        <w:tc>
          <w:tcPr>
            <w:tcW w:w="0" w:type="auto"/>
            <w:vAlign w:val="center"/>
            <w:hideMark/>
          </w:tcPr>
          <w:p w:rsidR="00AF6E59" w:rsidRPr="00AF6E59" w:rsidRDefault="00AF6E59" w:rsidP="00AF6E59">
            <w:pPr>
              <w:suppressAutoHyphens w:val="0"/>
              <w:jc w:val="center"/>
              <w:rPr>
                <w:rFonts w:cs="Times New Roman"/>
                <w:b/>
                <w:bCs/>
                <w:lang w:val="ru-RU" w:eastAsia="ru-RU"/>
              </w:rPr>
            </w:pPr>
            <w:proofErr w:type="spellStart"/>
            <w:r w:rsidRPr="00AF6E59">
              <w:rPr>
                <w:rFonts w:cs="Times New Roman"/>
                <w:b/>
                <w:bCs/>
                <w:lang w:val="ru-RU" w:eastAsia="ru-RU"/>
              </w:rPr>
              <w:t>Внутрішній</w:t>
            </w:r>
            <w:proofErr w:type="spellEnd"/>
            <w:r w:rsidRPr="00AF6E59">
              <w:rPr>
                <w:rFonts w:cs="Times New Roman"/>
                <w:b/>
                <w:bCs/>
                <w:lang w:val="ru-RU" w:eastAsia="ru-RU"/>
              </w:rPr>
              <w:t xml:space="preserve"> контроль</w:t>
            </w:r>
          </w:p>
        </w:tc>
      </w:tr>
      <w:tr w:rsidR="00AF6E59" w:rsidRPr="00AF6E59" w:rsidTr="00AF6E59">
        <w:trPr>
          <w:tblCellSpacing w:w="15" w:type="dxa"/>
        </w:trPr>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Хто</w:t>
            </w:r>
            <w:proofErr w:type="spellEnd"/>
            <w:r w:rsidRPr="00AF6E59">
              <w:rPr>
                <w:rFonts w:cs="Times New Roman"/>
                <w:lang w:val="ru-RU" w:eastAsia="ru-RU"/>
              </w:rPr>
              <w:t xml:space="preserve"> </w:t>
            </w:r>
            <w:proofErr w:type="spellStart"/>
            <w:r w:rsidRPr="00AF6E59">
              <w:rPr>
                <w:rFonts w:cs="Times New Roman"/>
                <w:lang w:val="ru-RU" w:eastAsia="ru-RU"/>
              </w:rPr>
              <w:t>здійснює</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Міністерства</w:t>
            </w:r>
            <w:proofErr w:type="spellEnd"/>
            <w:r w:rsidRPr="00AF6E59">
              <w:rPr>
                <w:rFonts w:cs="Times New Roman"/>
                <w:lang w:val="ru-RU" w:eastAsia="ru-RU"/>
              </w:rPr>
              <w:t xml:space="preserve">, ДСЯО, НАЗЯВО, </w:t>
            </w:r>
            <w:proofErr w:type="spellStart"/>
            <w:r w:rsidRPr="00AF6E59">
              <w:rPr>
                <w:rFonts w:cs="Times New Roman"/>
                <w:lang w:val="ru-RU" w:eastAsia="ru-RU"/>
              </w:rPr>
              <w:t>агенції</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Адміністрація</w:t>
            </w:r>
            <w:proofErr w:type="spellEnd"/>
            <w:r w:rsidRPr="00AF6E59">
              <w:rPr>
                <w:rFonts w:cs="Times New Roman"/>
                <w:lang w:val="ru-RU" w:eastAsia="ru-RU"/>
              </w:rPr>
              <w:t xml:space="preserve"> ЗВО/ЗЗСО, </w:t>
            </w:r>
            <w:proofErr w:type="spellStart"/>
            <w:r w:rsidRPr="00AF6E59">
              <w:rPr>
                <w:rFonts w:cs="Times New Roman"/>
                <w:lang w:val="ru-RU" w:eastAsia="ru-RU"/>
              </w:rPr>
              <w:t>внутрішні</w:t>
            </w:r>
            <w:proofErr w:type="spellEnd"/>
            <w:r w:rsidRPr="00AF6E59">
              <w:rPr>
                <w:rFonts w:cs="Times New Roman"/>
                <w:lang w:val="ru-RU" w:eastAsia="ru-RU"/>
              </w:rPr>
              <w:t xml:space="preserve"> </w:t>
            </w:r>
            <w:proofErr w:type="spellStart"/>
            <w:r w:rsidRPr="00AF6E59">
              <w:rPr>
                <w:rFonts w:cs="Times New Roman"/>
                <w:lang w:val="ru-RU" w:eastAsia="ru-RU"/>
              </w:rPr>
              <w:t>комісії</w:t>
            </w:r>
            <w:proofErr w:type="spellEnd"/>
          </w:p>
        </w:tc>
      </w:tr>
      <w:tr w:rsidR="00AF6E59" w:rsidRPr="00AF6E59" w:rsidTr="00AF6E59">
        <w:trPr>
          <w:tblCellSpacing w:w="15" w:type="dxa"/>
        </w:trPr>
        <w:tc>
          <w:tcPr>
            <w:tcW w:w="0" w:type="auto"/>
            <w:vAlign w:val="center"/>
            <w:hideMark/>
          </w:tcPr>
          <w:p w:rsidR="00AF6E59" w:rsidRPr="00AF6E59" w:rsidRDefault="00AF6E59" w:rsidP="00AF6E59">
            <w:pPr>
              <w:suppressAutoHyphens w:val="0"/>
              <w:rPr>
                <w:rFonts w:cs="Times New Roman"/>
                <w:lang w:val="ru-RU" w:eastAsia="ru-RU"/>
              </w:rPr>
            </w:pPr>
            <w:r w:rsidRPr="00AF6E59">
              <w:rPr>
                <w:rFonts w:cs="Times New Roman"/>
                <w:lang w:val="ru-RU" w:eastAsia="ru-RU"/>
              </w:rPr>
              <w:t>Мета</w:t>
            </w:r>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Забезпечення</w:t>
            </w:r>
            <w:proofErr w:type="spellEnd"/>
            <w:r w:rsidRPr="00AF6E59">
              <w:rPr>
                <w:rFonts w:cs="Times New Roman"/>
                <w:lang w:val="ru-RU" w:eastAsia="ru-RU"/>
              </w:rPr>
              <w:t xml:space="preserve"> державного </w:t>
            </w:r>
            <w:proofErr w:type="spellStart"/>
            <w:r w:rsidRPr="00AF6E59">
              <w:rPr>
                <w:rFonts w:cs="Times New Roman"/>
                <w:lang w:val="ru-RU" w:eastAsia="ru-RU"/>
              </w:rPr>
              <w:t>нагляду</w:t>
            </w:r>
            <w:proofErr w:type="spellEnd"/>
            <w:r w:rsidRPr="00AF6E59">
              <w:rPr>
                <w:rFonts w:cs="Times New Roman"/>
                <w:lang w:val="ru-RU" w:eastAsia="ru-RU"/>
              </w:rPr>
              <w:t xml:space="preserve">, </w:t>
            </w:r>
            <w:proofErr w:type="spellStart"/>
            <w:r w:rsidRPr="00AF6E59">
              <w:rPr>
                <w:rFonts w:cs="Times New Roman"/>
                <w:lang w:val="ru-RU" w:eastAsia="ru-RU"/>
              </w:rPr>
              <w:t>ліцензування</w:t>
            </w:r>
            <w:proofErr w:type="spellEnd"/>
            <w:r w:rsidRPr="00AF6E59">
              <w:rPr>
                <w:rFonts w:cs="Times New Roman"/>
                <w:lang w:val="ru-RU" w:eastAsia="ru-RU"/>
              </w:rPr>
              <w:t xml:space="preserve">, </w:t>
            </w:r>
            <w:proofErr w:type="spellStart"/>
            <w:r w:rsidRPr="00AF6E59">
              <w:rPr>
                <w:rFonts w:cs="Times New Roman"/>
                <w:lang w:val="ru-RU" w:eastAsia="ru-RU"/>
              </w:rPr>
              <w:t>акредитація</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Оцінка</w:t>
            </w:r>
            <w:proofErr w:type="spellEnd"/>
            <w:r w:rsidRPr="00AF6E59">
              <w:rPr>
                <w:rFonts w:cs="Times New Roman"/>
                <w:lang w:val="ru-RU" w:eastAsia="ru-RU"/>
              </w:rPr>
              <w:t xml:space="preserve"> та </w:t>
            </w:r>
            <w:proofErr w:type="spellStart"/>
            <w:r w:rsidRPr="00AF6E59">
              <w:rPr>
                <w:rFonts w:cs="Times New Roman"/>
                <w:lang w:val="ru-RU" w:eastAsia="ru-RU"/>
              </w:rPr>
              <w:t>вдосконалення</w:t>
            </w:r>
            <w:proofErr w:type="spellEnd"/>
            <w:r w:rsidRPr="00AF6E59">
              <w:rPr>
                <w:rFonts w:cs="Times New Roman"/>
                <w:lang w:val="ru-RU" w:eastAsia="ru-RU"/>
              </w:rPr>
              <w:t xml:space="preserve"> </w:t>
            </w:r>
            <w:proofErr w:type="spellStart"/>
            <w:r w:rsidRPr="00AF6E59">
              <w:rPr>
                <w:rFonts w:cs="Times New Roman"/>
                <w:lang w:val="ru-RU" w:eastAsia="ru-RU"/>
              </w:rPr>
              <w:t>внутрішніх</w:t>
            </w:r>
            <w:proofErr w:type="spellEnd"/>
            <w:r w:rsidRPr="00AF6E59">
              <w:rPr>
                <w:rFonts w:cs="Times New Roman"/>
                <w:lang w:val="ru-RU" w:eastAsia="ru-RU"/>
              </w:rPr>
              <w:t xml:space="preserve"> </w:t>
            </w:r>
            <w:proofErr w:type="spellStart"/>
            <w:r w:rsidRPr="00AF6E59">
              <w:rPr>
                <w:rFonts w:cs="Times New Roman"/>
                <w:lang w:val="ru-RU" w:eastAsia="ru-RU"/>
              </w:rPr>
              <w:t>процесів</w:t>
            </w:r>
            <w:proofErr w:type="spellEnd"/>
          </w:p>
        </w:tc>
      </w:tr>
      <w:tr w:rsidR="00AF6E59" w:rsidRPr="00AF6E59" w:rsidTr="00AF6E59">
        <w:trPr>
          <w:tblCellSpacing w:w="15" w:type="dxa"/>
        </w:trPr>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Інструменти</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Атестація</w:t>
            </w:r>
            <w:proofErr w:type="spellEnd"/>
            <w:r w:rsidRPr="00AF6E59">
              <w:rPr>
                <w:rFonts w:cs="Times New Roman"/>
                <w:lang w:val="ru-RU" w:eastAsia="ru-RU"/>
              </w:rPr>
              <w:t xml:space="preserve">, </w:t>
            </w:r>
            <w:proofErr w:type="spellStart"/>
            <w:r w:rsidRPr="00AF6E59">
              <w:rPr>
                <w:rFonts w:cs="Times New Roman"/>
                <w:lang w:val="ru-RU" w:eastAsia="ru-RU"/>
              </w:rPr>
              <w:t>акредитація</w:t>
            </w:r>
            <w:proofErr w:type="spellEnd"/>
            <w:r w:rsidRPr="00AF6E59">
              <w:rPr>
                <w:rFonts w:cs="Times New Roman"/>
                <w:lang w:val="ru-RU" w:eastAsia="ru-RU"/>
              </w:rPr>
              <w:t xml:space="preserve">, </w:t>
            </w:r>
            <w:proofErr w:type="spellStart"/>
            <w:r w:rsidRPr="00AF6E59">
              <w:rPr>
                <w:rFonts w:cs="Times New Roman"/>
                <w:lang w:val="ru-RU" w:eastAsia="ru-RU"/>
              </w:rPr>
              <w:t>зовнішнє</w:t>
            </w:r>
            <w:proofErr w:type="spellEnd"/>
            <w:r w:rsidRPr="00AF6E59">
              <w:rPr>
                <w:rFonts w:cs="Times New Roman"/>
                <w:lang w:val="ru-RU" w:eastAsia="ru-RU"/>
              </w:rPr>
              <w:t xml:space="preserve"> </w:t>
            </w:r>
            <w:proofErr w:type="spellStart"/>
            <w:r w:rsidRPr="00AF6E59">
              <w:rPr>
                <w:rFonts w:cs="Times New Roman"/>
                <w:lang w:val="ru-RU" w:eastAsia="ru-RU"/>
              </w:rPr>
              <w:t>оцінювання</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Внутрішній</w:t>
            </w:r>
            <w:proofErr w:type="spellEnd"/>
            <w:r w:rsidRPr="00AF6E59">
              <w:rPr>
                <w:rFonts w:cs="Times New Roman"/>
                <w:lang w:val="ru-RU" w:eastAsia="ru-RU"/>
              </w:rPr>
              <w:t xml:space="preserve"> </w:t>
            </w:r>
            <w:proofErr w:type="spellStart"/>
            <w:r w:rsidRPr="00AF6E59">
              <w:rPr>
                <w:rFonts w:cs="Times New Roman"/>
                <w:lang w:val="ru-RU" w:eastAsia="ru-RU"/>
              </w:rPr>
              <w:t>моніторинг</w:t>
            </w:r>
            <w:proofErr w:type="spellEnd"/>
            <w:r w:rsidRPr="00AF6E59">
              <w:rPr>
                <w:rFonts w:cs="Times New Roman"/>
                <w:lang w:val="ru-RU" w:eastAsia="ru-RU"/>
              </w:rPr>
              <w:t xml:space="preserve">, аудит, </w:t>
            </w:r>
            <w:proofErr w:type="spellStart"/>
            <w:r w:rsidRPr="00AF6E59">
              <w:rPr>
                <w:rFonts w:cs="Times New Roman"/>
                <w:lang w:val="ru-RU" w:eastAsia="ru-RU"/>
              </w:rPr>
              <w:t>анкетування</w:t>
            </w:r>
            <w:proofErr w:type="spellEnd"/>
          </w:p>
        </w:tc>
      </w:tr>
      <w:tr w:rsidR="00AF6E59" w:rsidRPr="00AF6E59" w:rsidTr="00AF6E59">
        <w:trPr>
          <w:tblCellSpacing w:w="15" w:type="dxa"/>
        </w:trPr>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Періодичність</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Регламентована</w:t>
            </w:r>
            <w:proofErr w:type="spellEnd"/>
            <w:r w:rsidRPr="00AF6E59">
              <w:rPr>
                <w:rFonts w:cs="Times New Roman"/>
                <w:lang w:val="ru-RU" w:eastAsia="ru-RU"/>
              </w:rPr>
              <w:t xml:space="preserve"> нормативно</w:t>
            </w:r>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Визначається</w:t>
            </w:r>
            <w:proofErr w:type="spellEnd"/>
            <w:r w:rsidRPr="00AF6E59">
              <w:rPr>
                <w:rFonts w:cs="Times New Roman"/>
                <w:lang w:val="ru-RU" w:eastAsia="ru-RU"/>
              </w:rPr>
              <w:t xml:space="preserve"> закладом </w:t>
            </w:r>
            <w:proofErr w:type="spellStart"/>
            <w:r w:rsidRPr="00AF6E59">
              <w:rPr>
                <w:rFonts w:cs="Times New Roman"/>
                <w:lang w:val="ru-RU" w:eastAsia="ru-RU"/>
              </w:rPr>
              <w:t>освіти</w:t>
            </w:r>
            <w:proofErr w:type="spellEnd"/>
          </w:p>
        </w:tc>
      </w:tr>
      <w:tr w:rsidR="00AF6E59" w:rsidRPr="00AF6E59" w:rsidTr="00AF6E59">
        <w:trPr>
          <w:tblCellSpacing w:w="15" w:type="dxa"/>
        </w:trPr>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Наслідки</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Прийняття</w:t>
            </w:r>
            <w:proofErr w:type="spellEnd"/>
            <w:r w:rsidRPr="00AF6E59">
              <w:rPr>
                <w:rFonts w:cs="Times New Roman"/>
                <w:lang w:val="ru-RU" w:eastAsia="ru-RU"/>
              </w:rPr>
              <w:t xml:space="preserve"> </w:t>
            </w:r>
            <w:proofErr w:type="spellStart"/>
            <w:r w:rsidRPr="00AF6E59">
              <w:rPr>
                <w:rFonts w:cs="Times New Roman"/>
                <w:lang w:val="ru-RU" w:eastAsia="ru-RU"/>
              </w:rPr>
              <w:t>управлінських</w:t>
            </w:r>
            <w:proofErr w:type="spellEnd"/>
            <w:r w:rsidRPr="00AF6E59">
              <w:rPr>
                <w:rFonts w:cs="Times New Roman"/>
                <w:lang w:val="ru-RU" w:eastAsia="ru-RU"/>
              </w:rPr>
              <w:t xml:space="preserve"> </w:t>
            </w:r>
            <w:proofErr w:type="spellStart"/>
            <w:r w:rsidRPr="00AF6E59">
              <w:rPr>
                <w:rFonts w:cs="Times New Roman"/>
                <w:lang w:val="ru-RU" w:eastAsia="ru-RU"/>
              </w:rPr>
              <w:t>рішень</w:t>
            </w:r>
            <w:proofErr w:type="spellEnd"/>
            <w:r w:rsidRPr="00AF6E59">
              <w:rPr>
                <w:rFonts w:cs="Times New Roman"/>
                <w:lang w:val="ru-RU" w:eastAsia="ru-RU"/>
              </w:rPr>
              <w:t xml:space="preserve"> на </w:t>
            </w:r>
            <w:proofErr w:type="spellStart"/>
            <w:r w:rsidRPr="00AF6E59">
              <w:rPr>
                <w:rFonts w:cs="Times New Roman"/>
                <w:lang w:val="ru-RU" w:eastAsia="ru-RU"/>
              </w:rPr>
              <w:t>рівні</w:t>
            </w:r>
            <w:proofErr w:type="spellEnd"/>
            <w:r w:rsidRPr="00AF6E59">
              <w:rPr>
                <w:rFonts w:cs="Times New Roman"/>
                <w:lang w:val="ru-RU" w:eastAsia="ru-RU"/>
              </w:rPr>
              <w:t xml:space="preserve"> </w:t>
            </w:r>
            <w:proofErr w:type="spellStart"/>
            <w:r w:rsidRPr="00AF6E59">
              <w:rPr>
                <w:rFonts w:cs="Times New Roman"/>
                <w:lang w:val="ru-RU" w:eastAsia="ru-RU"/>
              </w:rPr>
              <w:t>держави</w:t>
            </w:r>
            <w:proofErr w:type="spellEnd"/>
          </w:p>
        </w:tc>
        <w:tc>
          <w:tcPr>
            <w:tcW w:w="0" w:type="auto"/>
            <w:vAlign w:val="center"/>
            <w:hideMark/>
          </w:tcPr>
          <w:p w:rsidR="00AF6E59" w:rsidRPr="00AF6E59" w:rsidRDefault="00AF6E59" w:rsidP="00AF6E59">
            <w:pPr>
              <w:suppressAutoHyphens w:val="0"/>
              <w:rPr>
                <w:rFonts w:cs="Times New Roman"/>
                <w:lang w:val="ru-RU" w:eastAsia="ru-RU"/>
              </w:rPr>
            </w:pPr>
            <w:proofErr w:type="spellStart"/>
            <w:r w:rsidRPr="00AF6E59">
              <w:rPr>
                <w:rFonts w:cs="Times New Roman"/>
                <w:lang w:val="ru-RU" w:eastAsia="ru-RU"/>
              </w:rPr>
              <w:t>Коригування</w:t>
            </w:r>
            <w:proofErr w:type="spellEnd"/>
            <w:r w:rsidRPr="00AF6E59">
              <w:rPr>
                <w:rFonts w:cs="Times New Roman"/>
                <w:lang w:val="ru-RU" w:eastAsia="ru-RU"/>
              </w:rPr>
              <w:t xml:space="preserve"> </w:t>
            </w:r>
            <w:proofErr w:type="spellStart"/>
            <w:r w:rsidRPr="00AF6E59">
              <w:rPr>
                <w:rFonts w:cs="Times New Roman"/>
                <w:lang w:val="ru-RU" w:eastAsia="ru-RU"/>
              </w:rPr>
              <w:t>освітніх</w:t>
            </w:r>
            <w:proofErr w:type="spellEnd"/>
            <w:r w:rsidRPr="00AF6E59">
              <w:rPr>
                <w:rFonts w:cs="Times New Roman"/>
                <w:lang w:val="ru-RU" w:eastAsia="ru-RU"/>
              </w:rPr>
              <w:t xml:space="preserve"> </w:t>
            </w:r>
            <w:proofErr w:type="spellStart"/>
            <w:r w:rsidRPr="00AF6E59">
              <w:rPr>
                <w:rFonts w:cs="Times New Roman"/>
                <w:lang w:val="ru-RU" w:eastAsia="ru-RU"/>
              </w:rPr>
              <w:t>програм</w:t>
            </w:r>
            <w:proofErr w:type="spellEnd"/>
            <w:r w:rsidRPr="00AF6E59">
              <w:rPr>
                <w:rFonts w:cs="Times New Roman"/>
                <w:lang w:val="ru-RU" w:eastAsia="ru-RU"/>
              </w:rPr>
              <w:t xml:space="preserve">, </w:t>
            </w:r>
            <w:proofErr w:type="spellStart"/>
            <w:r w:rsidRPr="00AF6E59">
              <w:rPr>
                <w:rFonts w:cs="Times New Roman"/>
                <w:lang w:val="ru-RU" w:eastAsia="ru-RU"/>
              </w:rPr>
              <w:t>підвищення</w:t>
            </w:r>
            <w:proofErr w:type="spellEnd"/>
            <w:r w:rsidRPr="00AF6E59">
              <w:rPr>
                <w:rFonts w:cs="Times New Roman"/>
                <w:lang w:val="ru-RU" w:eastAsia="ru-RU"/>
              </w:rPr>
              <w:t xml:space="preserve"> </w:t>
            </w:r>
            <w:proofErr w:type="spellStart"/>
            <w:r w:rsidRPr="00AF6E59">
              <w:rPr>
                <w:rFonts w:cs="Times New Roman"/>
                <w:lang w:val="ru-RU" w:eastAsia="ru-RU"/>
              </w:rPr>
              <w:t>кваліфікації</w:t>
            </w:r>
            <w:proofErr w:type="spellEnd"/>
          </w:p>
        </w:tc>
      </w:tr>
    </w:tbl>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Характеристика</w:t>
      </w:r>
      <w:r w:rsidRPr="00AF6E59">
        <w:tab/>
        <w:t>Державний контроль</w:t>
      </w:r>
      <w:r w:rsidRPr="00AF6E59">
        <w:tab/>
        <w:t>Внутрішній контроль</w:t>
      </w:r>
    </w:p>
    <w:p w:rsidR="00AF6E59" w:rsidRPr="00AF6E59" w:rsidRDefault="00AF6E59" w:rsidP="00AF6E59">
      <w:pPr>
        <w:pStyle w:val="a5"/>
        <w:spacing w:line="26" w:lineRule="atLeast"/>
      </w:pPr>
      <w:r w:rsidRPr="00AF6E59">
        <w:t>Хто здійснює</w:t>
      </w:r>
      <w:r w:rsidRPr="00AF6E59">
        <w:tab/>
        <w:t>Міністерства, ДСЯО, НАЗЯВО, агенції</w:t>
      </w:r>
      <w:r w:rsidRPr="00AF6E59">
        <w:tab/>
        <w:t>Адміністрація ЗВО/ЗЗСО, внутрішні комісії</w:t>
      </w:r>
    </w:p>
    <w:p w:rsidR="00AF6E59" w:rsidRPr="00AF6E59" w:rsidRDefault="00AF6E59" w:rsidP="00AF6E59">
      <w:pPr>
        <w:pStyle w:val="a5"/>
        <w:spacing w:line="26" w:lineRule="atLeast"/>
      </w:pPr>
      <w:r w:rsidRPr="00AF6E59">
        <w:t>Мета</w:t>
      </w:r>
      <w:r w:rsidRPr="00AF6E59">
        <w:tab/>
        <w:t>Забезпечення державного нагляду, ліцензування, акредитація</w:t>
      </w:r>
      <w:r w:rsidRPr="00AF6E59">
        <w:tab/>
        <w:t>Оцінка та вдосконалення внутрішніх процесів</w:t>
      </w:r>
    </w:p>
    <w:p w:rsidR="00AF6E59" w:rsidRPr="00AF6E59" w:rsidRDefault="00AF6E59" w:rsidP="00AF6E59">
      <w:pPr>
        <w:pStyle w:val="a5"/>
        <w:spacing w:line="26" w:lineRule="atLeast"/>
      </w:pPr>
      <w:r w:rsidRPr="00AF6E59">
        <w:t>Інструменти</w:t>
      </w:r>
      <w:r w:rsidRPr="00AF6E59">
        <w:tab/>
        <w:t>Атестація, акредитація, зовнішнє оцінювання</w:t>
      </w:r>
      <w:r w:rsidRPr="00AF6E59">
        <w:tab/>
        <w:t>Внутрішній моніторинг, аудит, анкетування</w:t>
      </w:r>
    </w:p>
    <w:p w:rsidR="00AF6E59" w:rsidRPr="00AF6E59" w:rsidRDefault="00AF6E59" w:rsidP="00AF6E59">
      <w:pPr>
        <w:pStyle w:val="a5"/>
        <w:spacing w:line="26" w:lineRule="atLeast"/>
      </w:pPr>
      <w:r w:rsidRPr="00AF6E59">
        <w:t>Періодичність</w:t>
      </w:r>
      <w:r w:rsidRPr="00AF6E59">
        <w:tab/>
        <w:t>Регламентована нормативно</w:t>
      </w:r>
      <w:r w:rsidRPr="00AF6E59">
        <w:tab/>
        <w:t>Визначається закладом освіти</w:t>
      </w:r>
    </w:p>
    <w:p w:rsidR="00AF6E59" w:rsidRPr="00AF6E59" w:rsidRDefault="00AF6E59" w:rsidP="00AF6E59">
      <w:pPr>
        <w:pStyle w:val="a5"/>
        <w:spacing w:line="26" w:lineRule="atLeast"/>
      </w:pPr>
      <w:r w:rsidRPr="00AF6E59">
        <w:t>Наслідки</w:t>
      </w:r>
      <w:r w:rsidRPr="00AF6E59">
        <w:tab/>
        <w:t>Прийняття управлінських рішень на рівні держави</w:t>
      </w:r>
      <w:r w:rsidRPr="00AF6E59">
        <w:tab/>
        <w:t>Коригування освітніх програм, підвищення кваліфікації</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lastRenderedPageBreak/>
        <w:t>Таким чином, державний контроль — це інструмент реалізації політики в сфері освіти на макрорівні, а внутрішній контроль — механізм забезпечення культури якості всередині освітнього закладу.</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Основні принципи забезпечення якості освіти (відповідно до стандартів)</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Згідно з ESG (</w:t>
      </w:r>
      <w:proofErr w:type="spellStart"/>
      <w:r w:rsidRPr="00AF6E59">
        <w:t>Standards</w:t>
      </w:r>
      <w:proofErr w:type="spellEnd"/>
      <w:r w:rsidRPr="00AF6E59">
        <w:t xml:space="preserve"> </w:t>
      </w:r>
      <w:proofErr w:type="spellStart"/>
      <w:r w:rsidRPr="00AF6E59">
        <w:t>and</w:t>
      </w:r>
      <w:proofErr w:type="spellEnd"/>
      <w:r w:rsidRPr="00AF6E59">
        <w:t xml:space="preserve"> </w:t>
      </w:r>
      <w:proofErr w:type="spellStart"/>
      <w:r w:rsidRPr="00AF6E59">
        <w:t>Guidelines</w:t>
      </w:r>
      <w:proofErr w:type="spellEnd"/>
      <w:r w:rsidRPr="00AF6E59">
        <w:t xml:space="preserve"> </w:t>
      </w:r>
      <w:proofErr w:type="spellStart"/>
      <w:r w:rsidRPr="00AF6E59">
        <w:t>for</w:t>
      </w:r>
      <w:proofErr w:type="spellEnd"/>
      <w:r w:rsidRPr="00AF6E59">
        <w:t xml:space="preserve"> </w:t>
      </w:r>
      <w:proofErr w:type="spellStart"/>
      <w:r w:rsidRPr="00AF6E59">
        <w:t>Quality</w:t>
      </w:r>
      <w:proofErr w:type="spellEnd"/>
      <w:r w:rsidRPr="00AF6E59">
        <w:t xml:space="preserve"> </w:t>
      </w:r>
      <w:proofErr w:type="spellStart"/>
      <w:r w:rsidRPr="00AF6E59">
        <w:t>Assurance</w:t>
      </w:r>
      <w:proofErr w:type="spellEnd"/>
      <w:r w:rsidRPr="00AF6E59">
        <w:t xml:space="preserve"> </w:t>
      </w:r>
      <w:proofErr w:type="spellStart"/>
      <w:r w:rsidRPr="00AF6E59">
        <w:t>in</w:t>
      </w:r>
      <w:proofErr w:type="spellEnd"/>
      <w:r w:rsidRPr="00AF6E59">
        <w:t xml:space="preserve"> </w:t>
      </w:r>
      <w:proofErr w:type="spellStart"/>
      <w:r w:rsidRPr="00AF6E59">
        <w:t>the</w:t>
      </w:r>
      <w:proofErr w:type="spellEnd"/>
      <w:r w:rsidRPr="00AF6E59">
        <w:t xml:space="preserve"> </w:t>
      </w:r>
      <w:proofErr w:type="spellStart"/>
      <w:r w:rsidRPr="00AF6E59">
        <w:t>European</w:t>
      </w:r>
      <w:proofErr w:type="spellEnd"/>
      <w:r w:rsidRPr="00AF6E59">
        <w:t xml:space="preserve"> </w:t>
      </w:r>
      <w:proofErr w:type="spellStart"/>
      <w:r w:rsidRPr="00AF6E59">
        <w:t>Higher</w:t>
      </w:r>
      <w:proofErr w:type="spellEnd"/>
      <w:r w:rsidRPr="00AF6E59">
        <w:t xml:space="preserve"> </w:t>
      </w:r>
      <w:proofErr w:type="spellStart"/>
      <w:r w:rsidRPr="00AF6E59">
        <w:t>Education</w:t>
      </w:r>
      <w:proofErr w:type="spellEnd"/>
      <w:r w:rsidRPr="00AF6E59">
        <w:t xml:space="preserve"> </w:t>
      </w:r>
      <w:proofErr w:type="spellStart"/>
      <w:r w:rsidRPr="00AF6E59">
        <w:t>Area</w:t>
      </w:r>
      <w:proofErr w:type="spellEnd"/>
      <w:r w:rsidRPr="00AF6E59">
        <w:t>), забезпечення якості освіти має ґрунтуватися на таких принципах:</w:t>
      </w:r>
    </w:p>
    <w:p w:rsidR="00AF6E59" w:rsidRPr="00AF6E59" w:rsidRDefault="00AF6E59" w:rsidP="00AF6E59">
      <w:pPr>
        <w:pStyle w:val="a5"/>
        <w:numPr>
          <w:ilvl w:val="0"/>
          <w:numId w:val="12"/>
        </w:numPr>
        <w:spacing w:line="26" w:lineRule="atLeast"/>
      </w:pPr>
      <w:proofErr w:type="spellStart"/>
      <w:r w:rsidRPr="00AF6E59">
        <w:t>Центрованість</w:t>
      </w:r>
      <w:proofErr w:type="spellEnd"/>
      <w:r w:rsidRPr="00AF6E59">
        <w:t xml:space="preserve"> на </w:t>
      </w:r>
      <w:proofErr w:type="spellStart"/>
      <w:r w:rsidRPr="00AF6E59">
        <w:t>здобувача</w:t>
      </w:r>
      <w:proofErr w:type="spellEnd"/>
      <w:r w:rsidRPr="00AF6E59">
        <w:t xml:space="preserve"> </w:t>
      </w:r>
      <w:proofErr w:type="spellStart"/>
      <w:r w:rsidRPr="00AF6E59">
        <w:t>освіти</w:t>
      </w:r>
      <w:proofErr w:type="spellEnd"/>
      <w:r w:rsidRPr="00AF6E59">
        <w:t xml:space="preserve"> — освітній процес має орієнтуватися на потреби і розвиток здобувачів.</w:t>
      </w:r>
    </w:p>
    <w:p w:rsidR="00AF6E59" w:rsidRPr="00AF6E59" w:rsidRDefault="00AF6E59" w:rsidP="00AF6E59">
      <w:pPr>
        <w:pStyle w:val="a5"/>
        <w:numPr>
          <w:ilvl w:val="0"/>
          <w:numId w:val="12"/>
        </w:numPr>
        <w:spacing w:line="26" w:lineRule="atLeast"/>
      </w:pPr>
      <w:proofErr w:type="spellStart"/>
      <w:r w:rsidRPr="00AF6E59">
        <w:t>Постійне</w:t>
      </w:r>
      <w:proofErr w:type="spellEnd"/>
      <w:r w:rsidRPr="00AF6E59">
        <w:t xml:space="preserve"> </w:t>
      </w:r>
      <w:proofErr w:type="spellStart"/>
      <w:r w:rsidRPr="00AF6E59">
        <w:t>вдосконалення</w:t>
      </w:r>
      <w:proofErr w:type="spellEnd"/>
      <w:r w:rsidRPr="00AF6E59">
        <w:t xml:space="preserve"> — </w:t>
      </w:r>
      <w:proofErr w:type="spellStart"/>
      <w:r w:rsidRPr="00AF6E59">
        <w:t>якість</w:t>
      </w:r>
      <w:proofErr w:type="spellEnd"/>
      <w:r w:rsidRPr="00AF6E59">
        <w:t xml:space="preserve"> освіти розглядається як динамічний процес.</w:t>
      </w:r>
    </w:p>
    <w:p w:rsidR="00AF6E59" w:rsidRPr="00AF6E59" w:rsidRDefault="00AF6E59" w:rsidP="00AF6E59">
      <w:pPr>
        <w:pStyle w:val="a5"/>
        <w:numPr>
          <w:ilvl w:val="0"/>
          <w:numId w:val="12"/>
        </w:numPr>
        <w:spacing w:line="26" w:lineRule="atLeast"/>
      </w:pPr>
      <w:proofErr w:type="spellStart"/>
      <w:r w:rsidRPr="00AF6E59">
        <w:t>Прозорість</w:t>
      </w:r>
      <w:proofErr w:type="spellEnd"/>
      <w:r w:rsidRPr="00AF6E59">
        <w:t xml:space="preserve"> та </w:t>
      </w:r>
      <w:proofErr w:type="spellStart"/>
      <w:r w:rsidRPr="00AF6E59">
        <w:t>відкритість</w:t>
      </w:r>
      <w:proofErr w:type="spellEnd"/>
      <w:r w:rsidRPr="00AF6E59">
        <w:t xml:space="preserve"> — вся інформація щодо якості освітніх програм має бути доступною.</w:t>
      </w:r>
    </w:p>
    <w:p w:rsidR="00AF6E59" w:rsidRPr="00AF6E59" w:rsidRDefault="00AF6E59" w:rsidP="00AF6E59">
      <w:pPr>
        <w:pStyle w:val="a5"/>
        <w:numPr>
          <w:ilvl w:val="0"/>
          <w:numId w:val="12"/>
        </w:numPr>
        <w:spacing w:line="26" w:lineRule="atLeast"/>
      </w:pPr>
      <w:r w:rsidRPr="00AF6E59">
        <w:t xml:space="preserve">Участь </w:t>
      </w:r>
      <w:proofErr w:type="spellStart"/>
      <w:r w:rsidRPr="00AF6E59">
        <w:t>зацікавлених</w:t>
      </w:r>
      <w:proofErr w:type="spellEnd"/>
      <w:r w:rsidRPr="00AF6E59">
        <w:t xml:space="preserve"> </w:t>
      </w:r>
      <w:proofErr w:type="spellStart"/>
      <w:r w:rsidRPr="00AF6E59">
        <w:t>сторін</w:t>
      </w:r>
      <w:proofErr w:type="spellEnd"/>
      <w:r w:rsidRPr="00AF6E59">
        <w:t xml:space="preserve"> — залучення студентів, викладачів, роботодавців.</w:t>
      </w:r>
    </w:p>
    <w:p w:rsidR="00AF6E59" w:rsidRPr="00AF6E59" w:rsidRDefault="00AF6E59" w:rsidP="00AF6E59">
      <w:pPr>
        <w:pStyle w:val="a5"/>
        <w:numPr>
          <w:ilvl w:val="0"/>
          <w:numId w:val="12"/>
        </w:numPr>
        <w:spacing w:line="26" w:lineRule="atLeast"/>
      </w:pPr>
      <w:proofErr w:type="spellStart"/>
      <w:r w:rsidRPr="00AF6E59">
        <w:t>Зовнішня</w:t>
      </w:r>
      <w:proofErr w:type="spellEnd"/>
      <w:r w:rsidRPr="00AF6E59">
        <w:t xml:space="preserve"> та </w:t>
      </w:r>
      <w:proofErr w:type="spellStart"/>
      <w:r w:rsidRPr="00AF6E59">
        <w:t>внутрішня</w:t>
      </w:r>
      <w:proofErr w:type="spellEnd"/>
      <w:r w:rsidRPr="00AF6E59">
        <w:t xml:space="preserve"> </w:t>
      </w:r>
      <w:proofErr w:type="spellStart"/>
      <w:r w:rsidRPr="00AF6E59">
        <w:t>відповідальність</w:t>
      </w:r>
      <w:proofErr w:type="spellEnd"/>
      <w:r w:rsidRPr="00AF6E59">
        <w:t xml:space="preserve"> — баланс між автономією та підзвітністю.</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У національному контексті ці принципи закріплені в Законах України «Про освіту», «Про повну загальну середню освіту», «Про вищу освіту», а також у вимогах НАЗЯВО до освітніх програм і стандартів.</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Зв’язок між дотриманням освітніх стандартів та якістю освітнього середовища</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Освітні стандарти є базовими орієнтирами, що визначають очікувані результати навчання, структуру програм, підходи до оцінювання. Їх дотримання забезпечує:</w:t>
      </w:r>
    </w:p>
    <w:p w:rsidR="00AF6E59" w:rsidRPr="00AF6E59" w:rsidRDefault="00AF6E59" w:rsidP="00AF6E59">
      <w:pPr>
        <w:pStyle w:val="a5"/>
        <w:spacing w:line="26" w:lineRule="atLeast"/>
      </w:pPr>
    </w:p>
    <w:p w:rsidR="00AF6E59" w:rsidRPr="00AF6E59" w:rsidRDefault="00AF6E59" w:rsidP="00AF6E59">
      <w:pPr>
        <w:pStyle w:val="a5"/>
        <w:numPr>
          <w:ilvl w:val="0"/>
          <w:numId w:val="13"/>
        </w:numPr>
        <w:spacing w:line="26" w:lineRule="atLeast"/>
      </w:pPr>
      <w:r w:rsidRPr="00AF6E59">
        <w:t>рівномірність якості освіти по всій країні;</w:t>
      </w:r>
    </w:p>
    <w:p w:rsidR="00AF6E59" w:rsidRPr="00AF6E59" w:rsidRDefault="00AF6E59" w:rsidP="00AF6E59">
      <w:pPr>
        <w:pStyle w:val="a5"/>
        <w:spacing w:line="26" w:lineRule="atLeast"/>
      </w:pPr>
    </w:p>
    <w:p w:rsidR="00AF6E59" w:rsidRPr="00AF6E59" w:rsidRDefault="00AF6E59" w:rsidP="00AF6E59">
      <w:pPr>
        <w:pStyle w:val="a5"/>
        <w:numPr>
          <w:ilvl w:val="0"/>
          <w:numId w:val="13"/>
        </w:numPr>
        <w:spacing w:line="26" w:lineRule="atLeast"/>
      </w:pPr>
      <w:r w:rsidRPr="00AF6E59">
        <w:t>прозорість вимог до здобувачів і викладачів;</w:t>
      </w:r>
    </w:p>
    <w:p w:rsidR="00AF6E59" w:rsidRPr="00AF6E59" w:rsidRDefault="00AF6E59" w:rsidP="00AF6E59">
      <w:pPr>
        <w:pStyle w:val="a5"/>
        <w:spacing w:line="26" w:lineRule="atLeast"/>
      </w:pPr>
    </w:p>
    <w:p w:rsidR="00AF6E59" w:rsidRPr="00AF6E59" w:rsidRDefault="00AF6E59" w:rsidP="00AF6E59">
      <w:pPr>
        <w:pStyle w:val="a5"/>
        <w:numPr>
          <w:ilvl w:val="0"/>
          <w:numId w:val="13"/>
        </w:numPr>
        <w:spacing w:line="26" w:lineRule="atLeast"/>
      </w:pPr>
      <w:r w:rsidRPr="00AF6E59">
        <w:t>узгодженість між різними рівнями освіти;</w:t>
      </w:r>
    </w:p>
    <w:p w:rsidR="00AF6E59" w:rsidRPr="00AF6E59" w:rsidRDefault="00AF6E59" w:rsidP="00AF6E59">
      <w:pPr>
        <w:pStyle w:val="a5"/>
        <w:spacing w:line="26" w:lineRule="atLeast"/>
      </w:pPr>
    </w:p>
    <w:p w:rsidR="00AF6E59" w:rsidRPr="00AF6E59" w:rsidRDefault="00AF6E59" w:rsidP="00AF6E59">
      <w:pPr>
        <w:pStyle w:val="a5"/>
        <w:numPr>
          <w:ilvl w:val="0"/>
          <w:numId w:val="13"/>
        </w:numPr>
        <w:spacing w:line="26" w:lineRule="atLeast"/>
      </w:pPr>
      <w:r w:rsidRPr="00AF6E59">
        <w:t>підвищення довіри до національної освіти на міжнародному рівні.</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Освітнє середовище, у свою чергу, формується на основі цих стандартів, але також залежить від:</w:t>
      </w:r>
    </w:p>
    <w:p w:rsidR="00AF6E59" w:rsidRPr="00AF6E59" w:rsidRDefault="00AF6E59" w:rsidP="00AF6E59">
      <w:pPr>
        <w:pStyle w:val="a5"/>
        <w:spacing w:line="26" w:lineRule="atLeast"/>
      </w:pPr>
    </w:p>
    <w:p w:rsidR="00AF6E59" w:rsidRPr="00AF6E59" w:rsidRDefault="00AF6E59" w:rsidP="00AF6E59">
      <w:pPr>
        <w:pStyle w:val="a5"/>
        <w:numPr>
          <w:ilvl w:val="0"/>
          <w:numId w:val="14"/>
        </w:numPr>
        <w:spacing w:line="26" w:lineRule="atLeast"/>
      </w:pPr>
      <w:r w:rsidRPr="00AF6E59">
        <w:t>кадрового потенціалу (викладачів/вчителів),</w:t>
      </w:r>
    </w:p>
    <w:p w:rsidR="00AF6E59" w:rsidRPr="00AF6E59" w:rsidRDefault="00AF6E59" w:rsidP="00AF6E59">
      <w:pPr>
        <w:pStyle w:val="a5"/>
        <w:spacing w:line="26" w:lineRule="atLeast"/>
      </w:pPr>
    </w:p>
    <w:p w:rsidR="00AF6E59" w:rsidRPr="00AF6E59" w:rsidRDefault="00AF6E59" w:rsidP="00AF6E59">
      <w:pPr>
        <w:pStyle w:val="a5"/>
        <w:numPr>
          <w:ilvl w:val="0"/>
          <w:numId w:val="14"/>
        </w:numPr>
        <w:spacing w:line="26" w:lineRule="atLeast"/>
      </w:pPr>
      <w:r w:rsidRPr="00AF6E59">
        <w:t>матеріально-технічної бази,</w:t>
      </w:r>
    </w:p>
    <w:p w:rsidR="00AF6E59" w:rsidRPr="00AF6E59" w:rsidRDefault="00AF6E59" w:rsidP="00AF6E59">
      <w:pPr>
        <w:pStyle w:val="a5"/>
        <w:spacing w:line="26" w:lineRule="atLeast"/>
      </w:pPr>
    </w:p>
    <w:p w:rsidR="00AF6E59" w:rsidRPr="00AF6E59" w:rsidRDefault="00AF6E59" w:rsidP="00AF6E59">
      <w:pPr>
        <w:pStyle w:val="a5"/>
        <w:numPr>
          <w:ilvl w:val="0"/>
          <w:numId w:val="14"/>
        </w:numPr>
        <w:spacing w:line="26" w:lineRule="atLeast"/>
      </w:pPr>
      <w:r w:rsidRPr="00AF6E59">
        <w:t>інформаційної інфраструктури,</w:t>
      </w:r>
    </w:p>
    <w:p w:rsidR="00AF6E59" w:rsidRPr="00AF6E59" w:rsidRDefault="00AF6E59" w:rsidP="00AF6E59">
      <w:pPr>
        <w:pStyle w:val="a5"/>
        <w:spacing w:line="26" w:lineRule="atLeast"/>
      </w:pPr>
    </w:p>
    <w:p w:rsidR="00AF6E59" w:rsidRPr="00AF6E59" w:rsidRDefault="00AF6E59" w:rsidP="00AF6E59">
      <w:pPr>
        <w:pStyle w:val="a5"/>
        <w:numPr>
          <w:ilvl w:val="0"/>
          <w:numId w:val="14"/>
        </w:numPr>
        <w:spacing w:line="26" w:lineRule="atLeast"/>
      </w:pPr>
      <w:r w:rsidRPr="00AF6E59">
        <w:t>стилю педагогічної взаємодії.</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Чим точніше заклад освіти інтегрує стандарти у свою повсякденну практику, тим вищою є якість освітнього середовища — як простору розвитку, навчання і професійного становлення.</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Критерії оцінювання якості роботи фахівця в освітньому середовищі</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Оцінювання роботи педагогічного працівника здійснюється на основі поєднання:</w:t>
      </w:r>
    </w:p>
    <w:p w:rsidR="00AF6E59" w:rsidRPr="00AF6E59" w:rsidRDefault="00AF6E59" w:rsidP="00AF6E59">
      <w:pPr>
        <w:pStyle w:val="a5"/>
        <w:spacing w:line="26" w:lineRule="atLeast"/>
      </w:pPr>
    </w:p>
    <w:p w:rsidR="00AF6E59" w:rsidRPr="00AF6E59" w:rsidRDefault="00AF6E59" w:rsidP="00AF6E59">
      <w:pPr>
        <w:pStyle w:val="a5"/>
        <w:numPr>
          <w:ilvl w:val="0"/>
          <w:numId w:val="15"/>
        </w:numPr>
        <w:spacing w:line="26" w:lineRule="atLeast"/>
      </w:pPr>
      <w:r w:rsidRPr="00AF6E59">
        <w:t>професійного стандарту (зокрема, «Вчитель закладу загальної середньої освіти»),</w:t>
      </w:r>
    </w:p>
    <w:p w:rsidR="00AF6E59" w:rsidRPr="00AF6E59" w:rsidRDefault="00AF6E59" w:rsidP="00AF6E59">
      <w:pPr>
        <w:pStyle w:val="a5"/>
        <w:spacing w:line="26" w:lineRule="atLeast"/>
      </w:pPr>
    </w:p>
    <w:p w:rsidR="00AF6E59" w:rsidRPr="00AF6E59" w:rsidRDefault="00AF6E59" w:rsidP="00AF6E59">
      <w:pPr>
        <w:pStyle w:val="a5"/>
        <w:numPr>
          <w:ilvl w:val="0"/>
          <w:numId w:val="15"/>
        </w:numPr>
        <w:spacing w:line="26" w:lineRule="atLeast"/>
      </w:pPr>
      <w:r w:rsidRPr="00AF6E59">
        <w:t>стандарту освіти (вимог до результатів навчання),</w:t>
      </w:r>
    </w:p>
    <w:p w:rsidR="00AF6E59" w:rsidRPr="00AF6E59" w:rsidRDefault="00AF6E59" w:rsidP="00AF6E59">
      <w:pPr>
        <w:pStyle w:val="a5"/>
        <w:spacing w:line="26" w:lineRule="atLeast"/>
      </w:pPr>
    </w:p>
    <w:p w:rsidR="00AF6E59" w:rsidRPr="00AF6E59" w:rsidRDefault="00AF6E59" w:rsidP="00AF6E59">
      <w:pPr>
        <w:pStyle w:val="a5"/>
        <w:numPr>
          <w:ilvl w:val="0"/>
          <w:numId w:val="15"/>
        </w:numPr>
        <w:spacing w:line="26" w:lineRule="atLeast"/>
      </w:pPr>
      <w:r w:rsidRPr="00AF6E59">
        <w:t>внутрішніх критеріїв закладу освіти.</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До основних критеріїв оцінювання якості професійної діяльності фахівця належать:</w:t>
      </w:r>
    </w:p>
    <w:p w:rsidR="00AF6E59" w:rsidRPr="00AF6E59" w:rsidRDefault="00AF6E59" w:rsidP="00AF6E59">
      <w:pPr>
        <w:pStyle w:val="a5"/>
        <w:spacing w:line="26" w:lineRule="atLeast"/>
      </w:pPr>
    </w:p>
    <w:p w:rsidR="00AF6E59" w:rsidRPr="00AF6E59" w:rsidRDefault="00AF6E59" w:rsidP="00AF6E59">
      <w:pPr>
        <w:pStyle w:val="a5"/>
        <w:numPr>
          <w:ilvl w:val="0"/>
          <w:numId w:val="16"/>
        </w:numPr>
        <w:spacing w:line="26" w:lineRule="atLeast"/>
      </w:pPr>
      <w:r w:rsidRPr="00AF6E59">
        <w:t>Рівень педагогічної майстерності — володіння сучасними методиками, інноваційними технологіями.</w:t>
      </w:r>
    </w:p>
    <w:p w:rsidR="00AF6E59" w:rsidRPr="00AF6E59" w:rsidRDefault="00AF6E59" w:rsidP="00AF6E59">
      <w:pPr>
        <w:pStyle w:val="a5"/>
        <w:spacing w:line="26" w:lineRule="atLeast"/>
      </w:pPr>
    </w:p>
    <w:p w:rsidR="00AF6E59" w:rsidRPr="00AF6E59" w:rsidRDefault="00AF6E59" w:rsidP="00AF6E59">
      <w:pPr>
        <w:pStyle w:val="a5"/>
        <w:numPr>
          <w:ilvl w:val="0"/>
          <w:numId w:val="16"/>
        </w:numPr>
        <w:spacing w:line="26" w:lineRule="atLeast"/>
      </w:pPr>
      <w:r w:rsidRPr="00AF6E59">
        <w:t>Результативність навчання — успішність учнів/студентів, динаміка їхніх результатів.</w:t>
      </w:r>
    </w:p>
    <w:p w:rsidR="00AF6E59" w:rsidRPr="00AF6E59" w:rsidRDefault="00AF6E59" w:rsidP="00AF6E59">
      <w:pPr>
        <w:pStyle w:val="a5"/>
        <w:spacing w:line="26" w:lineRule="atLeast"/>
      </w:pPr>
    </w:p>
    <w:p w:rsidR="00AF6E59" w:rsidRPr="00AF6E59" w:rsidRDefault="00AF6E59" w:rsidP="00AF6E59">
      <w:pPr>
        <w:pStyle w:val="a5"/>
        <w:numPr>
          <w:ilvl w:val="0"/>
          <w:numId w:val="16"/>
        </w:numPr>
        <w:spacing w:line="26" w:lineRule="atLeast"/>
      </w:pPr>
      <w:r w:rsidRPr="00AF6E59">
        <w:t xml:space="preserve">Компетентність у сфері оцінювання — здатність об’єктивно та </w:t>
      </w:r>
      <w:proofErr w:type="spellStart"/>
      <w:r w:rsidRPr="00AF6E59">
        <w:t>конструктивно</w:t>
      </w:r>
      <w:proofErr w:type="spellEnd"/>
      <w:r w:rsidRPr="00AF6E59">
        <w:t xml:space="preserve"> оцінювати навчальні досягнення.</w:t>
      </w:r>
    </w:p>
    <w:p w:rsidR="00AF6E59" w:rsidRPr="00AF6E59" w:rsidRDefault="00AF6E59" w:rsidP="00AF6E59">
      <w:pPr>
        <w:pStyle w:val="a5"/>
        <w:spacing w:line="26" w:lineRule="atLeast"/>
      </w:pPr>
    </w:p>
    <w:p w:rsidR="00AF6E59" w:rsidRPr="00AF6E59" w:rsidRDefault="00AF6E59" w:rsidP="00AF6E59">
      <w:pPr>
        <w:pStyle w:val="a5"/>
        <w:numPr>
          <w:ilvl w:val="0"/>
          <w:numId w:val="16"/>
        </w:numPr>
        <w:spacing w:line="26" w:lineRule="atLeast"/>
      </w:pPr>
      <w:proofErr w:type="spellStart"/>
      <w:r w:rsidRPr="00AF6E59">
        <w:t>Рефлексивність</w:t>
      </w:r>
      <w:proofErr w:type="spellEnd"/>
      <w:r w:rsidRPr="00AF6E59">
        <w:t xml:space="preserve"> та здатність до </w:t>
      </w:r>
      <w:proofErr w:type="spellStart"/>
      <w:r w:rsidRPr="00AF6E59">
        <w:t>самооцінювання</w:t>
      </w:r>
      <w:proofErr w:type="spellEnd"/>
      <w:r w:rsidRPr="00AF6E59">
        <w:t xml:space="preserve"> — участь у підвищенні кваліфікації, відкритість до змін.</w:t>
      </w:r>
    </w:p>
    <w:p w:rsidR="00AF6E59" w:rsidRPr="00AF6E59" w:rsidRDefault="00AF6E59" w:rsidP="00AF6E59">
      <w:pPr>
        <w:pStyle w:val="a5"/>
        <w:spacing w:line="26" w:lineRule="atLeast"/>
      </w:pPr>
    </w:p>
    <w:p w:rsidR="00AF6E59" w:rsidRPr="00AF6E59" w:rsidRDefault="00AF6E59" w:rsidP="00AF6E59">
      <w:pPr>
        <w:pStyle w:val="a5"/>
        <w:numPr>
          <w:ilvl w:val="0"/>
          <w:numId w:val="16"/>
        </w:numPr>
        <w:spacing w:line="26" w:lineRule="atLeast"/>
      </w:pPr>
      <w:r w:rsidRPr="00AF6E59">
        <w:t xml:space="preserve">Участь у розбудові освітнього середовища — співпраця, комунікація, участь у </w:t>
      </w:r>
      <w:proofErr w:type="spellStart"/>
      <w:r w:rsidRPr="00AF6E59">
        <w:t>проєктній</w:t>
      </w:r>
      <w:proofErr w:type="spellEnd"/>
      <w:r w:rsidRPr="00AF6E59">
        <w:t xml:space="preserve"> діяльності.</w:t>
      </w:r>
    </w:p>
    <w:p w:rsidR="00AF6E59" w:rsidRPr="00AF6E59" w:rsidRDefault="00AF6E59" w:rsidP="00AF6E59">
      <w:pPr>
        <w:pStyle w:val="a5"/>
        <w:spacing w:line="26" w:lineRule="atLeast"/>
      </w:pPr>
    </w:p>
    <w:p w:rsidR="00AF6E59" w:rsidRPr="00AF6E59" w:rsidRDefault="00AF6E59" w:rsidP="00AF6E59">
      <w:pPr>
        <w:pStyle w:val="a5"/>
        <w:numPr>
          <w:ilvl w:val="0"/>
          <w:numId w:val="16"/>
        </w:numPr>
        <w:spacing w:line="26" w:lineRule="atLeast"/>
      </w:pPr>
      <w:r w:rsidRPr="00AF6E59">
        <w:t>Дотримання етичних та правових норм — академічна доброчесність, повага до особистості здобувача освіти.</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t>На основі цих критеріїв здійснюється не лише атестація, а й формування індивідуальної траєкторії професійного розвитку.</w:t>
      </w:r>
    </w:p>
    <w:p w:rsidR="00AF6E59" w:rsidRPr="00AF6E59" w:rsidRDefault="00AF6E59" w:rsidP="00AF6E59">
      <w:pPr>
        <w:pStyle w:val="a5"/>
        <w:spacing w:line="26" w:lineRule="atLeast"/>
      </w:pPr>
    </w:p>
    <w:p w:rsidR="00AF6E59" w:rsidRPr="00AF6E59" w:rsidRDefault="00AF6E59" w:rsidP="00AF6E59">
      <w:pPr>
        <w:pStyle w:val="a5"/>
        <w:spacing w:line="26" w:lineRule="atLeast"/>
      </w:pPr>
      <w:r w:rsidRPr="00AF6E59">
        <w:lastRenderedPageBreak/>
        <w:t>Висновки</w:t>
      </w:r>
    </w:p>
    <w:p w:rsidR="00AF6E59" w:rsidRPr="00AF6E59" w:rsidRDefault="00AF6E59" w:rsidP="00AF6E59">
      <w:pPr>
        <w:pStyle w:val="a5"/>
        <w:spacing w:line="26" w:lineRule="atLeast"/>
      </w:pPr>
    </w:p>
    <w:p w:rsidR="00161665" w:rsidRPr="00AF6E59" w:rsidRDefault="00AF6E59" w:rsidP="00AF6E59">
      <w:pPr>
        <w:pStyle w:val="a5"/>
        <w:spacing w:line="26" w:lineRule="atLeast"/>
      </w:pPr>
      <w:r w:rsidRPr="00AF6E59">
        <w:t>Контроль в освітньому процесі — це не лише механізм перевірки, але інструмент розвитку. Його ефективність залежить від чіткого розуміння функцій суб’єктів контролю, дотримання освітніх стандартів, участі всіх зацікавлених сторін та створення умов для професійного зростання фахівців. Усі елементи системи — від державного нагляду до внутрішнього моніторингу — мають працювати на єдину мету: забезпечення якісного, сучасного, інклюзивного та сталого освітнього середовища.</w:t>
      </w:r>
    </w:p>
    <w:sectPr w:rsidR="00161665" w:rsidRPr="00AF6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294C74C8"/>
    <w:multiLevelType w:val="hybridMultilevel"/>
    <w:tmpl w:val="D746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4712FF"/>
    <w:multiLevelType w:val="hybridMultilevel"/>
    <w:tmpl w:val="0414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463BD3"/>
    <w:multiLevelType w:val="hybridMultilevel"/>
    <w:tmpl w:val="A5C63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3B230F"/>
    <w:multiLevelType w:val="hybridMultilevel"/>
    <w:tmpl w:val="39D62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DE7A98"/>
    <w:multiLevelType w:val="hybridMultilevel"/>
    <w:tmpl w:val="B5369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89084C"/>
    <w:multiLevelType w:val="hybridMultilevel"/>
    <w:tmpl w:val="F2F8C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773C7C"/>
    <w:multiLevelType w:val="hybridMultilevel"/>
    <w:tmpl w:val="35520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4"/>
  </w:num>
  <w:num w:numId="12">
    <w:abstractNumId w:val="3"/>
  </w:num>
  <w:num w:numId="13">
    <w:abstractNumId w:val="2"/>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7"/>
    <w:rsid w:val="00110824"/>
    <w:rsid w:val="00161665"/>
    <w:rsid w:val="00437FD7"/>
    <w:rsid w:val="00AF6E59"/>
    <w:rsid w:val="00C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589F"/>
  <w15:chartTrackingRefBased/>
  <w15:docId w15:val="{6EB6219B-8A7D-4B7D-A514-F7A196F7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1"/>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9320">
      <w:bodyDiv w:val="1"/>
      <w:marLeft w:val="0"/>
      <w:marRight w:val="0"/>
      <w:marTop w:val="0"/>
      <w:marBottom w:val="0"/>
      <w:divBdr>
        <w:top w:val="none" w:sz="0" w:space="0" w:color="auto"/>
        <w:left w:val="none" w:sz="0" w:space="0" w:color="auto"/>
        <w:bottom w:val="none" w:sz="0" w:space="0" w:color="auto"/>
        <w:right w:val="none" w:sz="0" w:space="0" w:color="auto"/>
      </w:divBdr>
    </w:div>
    <w:div w:id="1165824287">
      <w:bodyDiv w:val="1"/>
      <w:marLeft w:val="0"/>
      <w:marRight w:val="0"/>
      <w:marTop w:val="0"/>
      <w:marBottom w:val="0"/>
      <w:divBdr>
        <w:top w:val="none" w:sz="0" w:space="0" w:color="auto"/>
        <w:left w:val="none" w:sz="0" w:space="0" w:color="auto"/>
        <w:bottom w:val="none" w:sz="0" w:space="0" w:color="auto"/>
        <w:right w:val="none" w:sz="0" w:space="0" w:color="auto"/>
      </w:divBdr>
      <w:divsChild>
        <w:div w:id="1875540035">
          <w:marLeft w:val="0"/>
          <w:marRight w:val="0"/>
          <w:marTop w:val="0"/>
          <w:marBottom w:val="0"/>
          <w:divBdr>
            <w:top w:val="none" w:sz="0" w:space="0" w:color="auto"/>
            <w:left w:val="none" w:sz="0" w:space="0" w:color="auto"/>
            <w:bottom w:val="none" w:sz="0" w:space="0" w:color="auto"/>
            <w:right w:val="none" w:sz="0" w:space="0" w:color="auto"/>
          </w:divBdr>
          <w:divsChild>
            <w:div w:id="955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2025-10-07T17:15:00Z</dcterms:created>
  <dcterms:modified xsi:type="dcterms:W3CDTF">2025-10-07T17:15:00Z</dcterms:modified>
</cp:coreProperties>
</file>