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10B9" w14:textId="381A3DDF" w:rsidR="00967C53" w:rsidRPr="00713EB0" w:rsidRDefault="00713EB0" w:rsidP="000D5701">
      <w:pPr>
        <w:spacing w:after="0" w:line="360" w:lineRule="auto"/>
        <w:ind w:firstLine="810"/>
        <w:jc w:val="both"/>
        <w:rPr>
          <w:rFonts w:ascii="Times New Roman" w:hAnsi="Times New Roman" w:cs="Times New Roman"/>
          <w:b/>
          <w:bCs/>
          <w:sz w:val="28"/>
          <w:szCs w:val="28"/>
          <w:lang w:val="uk-UA"/>
        </w:rPr>
      </w:pPr>
      <w:r w:rsidRPr="00713EB0">
        <w:rPr>
          <w:rFonts w:ascii="Times New Roman" w:hAnsi="Times New Roman" w:cs="Times New Roman"/>
          <w:b/>
          <w:bCs/>
          <w:sz w:val="28"/>
          <w:szCs w:val="28"/>
          <w:lang w:val="uk-UA"/>
        </w:rPr>
        <w:t xml:space="preserve">Лекція 8. ПЛАНУВАННЯ БІЗНЕС-ПРОЦЕСІВ У СИСТЕМІ СТРАТЕГІЧНОГО УПРАВЛІННЯ. </w:t>
      </w:r>
    </w:p>
    <w:p w14:paraId="6EF30FFD" w14:textId="77777777" w:rsidR="00713EB0" w:rsidRDefault="00967C53" w:rsidP="000D5701">
      <w:pPr>
        <w:pStyle w:val="ListParagraph"/>
        <w:numPr>
          <w:ilvl w:val="0"/>
          <w:numId w:val="6"/>
        </w:numPr>
        <w:spacing w:after="0" w:line="360" w:lineRule="auto"/>
        <w:ind w:left="0" w:firstLine="810"/>
        <w:jc w:val="both"/>
        <w:rPr>
          <w:rFonts w:ascii="Times New Roman" w:hAnsi="Times New Roman" w:cs="Times New Roman"/>
          <w:sz w:val="28"/>
          <w:szCs w:val="28"/>
          <w:lang w:val="uk-UA"/>
        </w:rPr>
      </w:pPr>
      <w:bookmarkStart w:id="0" w:name="_Hlk210762017"/>
      <w:r w:rsidRPr="00713EB0">
        <w:rPr>
          <w:rFonts w:ascii="Times New Roman" w:hAnsi="Times New Roman" w:cs="Times New Roman"/>
          <w:sz w:val="28"/>
          <w:szCs w:val="28"/>
          <w:lang w:val="uk-UA"/>
        </w:rPr>
        <w:t>Рівні планування: стратегічний, тактичний, оперативний</w:t>
      </w:r>
      <w:bookmarkEnd w:id="0"/>
      <w:r w:rsidRPr="00713EB0">
        <w:rPr>
          <w:rFonts w:ascii="Times New Roman" w:hAnsi="Times New Roman" w:cs="Times New Roman"/>
          <w:sz w:val="28"/>
          <w:szCs w:val="28"/>
          <w:lang w:val="uk-UA"/>
        </w:rPr>
        <w:t xml:space="preserve">. </w:t>
      </w:r>
    </w:p>
    <w:p w14:paraId="4730E195" w14:textId="77777777" w:rsidR="00713EB0" w:rsidRDefault="00967C53" w:rsidP="000D5701">
      <w:pPr>
        <w:pStyle w:val="ListParagraph"/>
        <w:numPr>
          <w:ilvl w:val="0"/>
          <w:numId w:val="6"/>
        </w:numPr>
        <w:spacing w:after="0" w:line="360" w:lineRule="auto"/>
        <w:ind w:left="0" w:firstLine="810"/>
        <w:jc w:val="both"/>
        <w:rPr>
          <w:rFonts w:ascii="Times New Roman" w:hAnsi="Times New Roman" w:cs="Times New Roman"/>
          <w:sz w:val="28"/>
          <w:szCs w:val="28"/>
          <w:lang w:val="uk-UA"/>
        </w:rPr>
      </w:pPr>
      <w:r w:rsidRPr="00713EB0">
        <w:rPr>
          <w:rFonts w:ascii="Times New Roman" w:hAnsi="Times New Roman" w:cs="Times New Roman"/>
          <w:sz w:val="28"/>
          <w:szCs w:val="28"/>
          <w:lang w:val="uk-UA"/>
        </w:rPr>
        <w:t xml:space="preserve">Взаємозв’язок між підсистемами «Фінанси – Споживач – Процеси – Персонал». </w:t>
      </w:r>
    </w:p>
    <w:p w14:paraId="0802D657" w14:textId="77777777" w:rsidR="00713EB0" w:rsidRDefault="00967C53" w:rsidP="000D5701">
      <w:pPr>
        <w:pStyle w:val="ListParagraph"/>
        <w:numPr>
          <w:ilvl w:val="0"/>
          <w:numId w:val="6"/>
        </w:numPr>
        <w:spacing w:after="0" w:line="360" w:lineRule="auto"/>
        <w:ind w:left="0" w:firstLine="810"/>
        <w:jc w:val="both"/>
        <w:rPr>
          <w:rFonts w:ascii="Times New Roman" w:hAnsi="Times New Roman" w:cs="Times New Roman"/>
          <w:sz w:val="28"/>
          <w:szCs w:val="28"/>
          <w:lang w:val="uk-UA"/>
        </w:rPr>
      </w:pPr>
      <w:proofErr w:type="spellStart"/>
      <w:r w:rsidRPr="00713EB0">
        <w:rPr>
          <w:rFonts w:ascii="Times New Roman" w:hAnsi="Times New Roman" w:cs="Times New Roman"/>
          <w:sz w:val="28"/>
          <w:szCs w:val="28"/>
          <w:lang w:val="uk-UA"/>
        </w:rPr>
        <w:t>Balanced</w:t>
      </w:r>
      <w:proofErr w:type="spellEnd"/>
      <w:r w:rsidRPr="00713EB0">
        <w:rPr>
          <w:rFonts w:ascii="Times New Roman" w:hAnsi="Times New Roman" w:cs="Times New Roman"/>
          <w:sz w:val="28"/>
          <w:szCs w:val="28"/>
          <w:lang w:val="uk-UA"/>
        </w:rPr>
        <w:t xml:space="preserve"> </w:t>
      </w:r>
      <w:proofErr w:type="spellStart"/>
      <w:r w:rsidRPr="00713EB0">
        <w:rPr>
          <w:rFonts w:ascii="Times New Roman" w:hAnsi="Times New Roman" w:cs="Times New Roman"/>
          <w:sz w:val="28"/>
          <w:szCs w:val="28"/>
          <w:lang w:val="uk-UA"/>
        </w:rPr>
        <w:t>Scorecard</w:t>
      </w:r>
      <w:proofErr w:type="spellEnd"/>
      <w:r w:rsidRPr="00713EB0">
        <w:rPr>
          <w:rFonts w:ascii="Times New Roman" w:hAnsi="Times New Roman" w:cs="Times New Roman"/>
          <w:sz w:val="28"/>
          <w:szCs w:val="28"/>
          <w:lang w:val="uk-UA"/>
        </w:rPr>
        <w:t xml:space="preserve"> (BSC) як інструмент управління результативністю. </w:t>
      </w:r>
    </w:p>
    <w:p w14:paraId="114409BA" w14:textId="77777777" w:rsidR="00713EB0" w:rsidRDefault="00967C53" w:rsidP="000D5701">
      <w:pPr>
        <w:pStyle w:val="ListParagraph"/>
        <w:numPr>
          <w:ilvl w:val="0"/>
          <w:numId w:val="6"/>
        </w:numPr>
        <w:spacing w:after="0" w:line="360" w:lineRule="auto"/>
        <w:ind w:left="0" w:firstLine="810"/>
        <w:jc w:val="both"/>
        <w:rPr>
          <w:rFonts w:ascii="Times New Roman" w:hAnsi="Times New Roman" w:cs="Times New Roman"/>
          <w:sz w:val="28"/>
          <w:szCs w:val="28"/>
          <w:lang w:val="uk-UA"/>
        </w:rPr>
      </w:pPr>
      <w:r w:rsidRPr="00713EB0">
        <w:rPr>
          <w:rFonts w:ascii="Times New Roman" w:hAnsi="Times New Roman" w:cs="Times New Roman"/>
          <w:sz w:val="28"/>
          <w:szCs w:val="28"/>
          <w:lang w:val="uk-UA"/>
        </w:rPr>
        <w:t xml:space="preserve">Роль ланцюжка цінності у плануванні та вдосконаленні процесів. </w:t>
      </w:r>
    </w:p>
    <w:p w14:paraId="592842DE" w14:textId="7F419026" w:rsidR="006A6873" w:rsidRDefault="00967C53" w:rsidP="000D5701">
      <w:pPr>
        <w:pStyle w:val="ListParagraph"/>
        <w:numPr>
          <w:ilvl w:val="0"/>
          <w:numId w:val="6"/>
        </w:numPr>
        <w:spacing w:after="0" w:line="360" w:lineRule="auto"/>
        <w:ind w:left="0" w:firstLine="810"/>
        <w:jc w:val="both"/>
        <w:rPr>
          <w:rFonts w:ascii="Times New Roman" w:hAnsi="Times New Roman" w:cs="Times New Roman"/>
          <w:sz w:val="28"/>
          <w:szCs w:val="28"/>
          <w:lang w:val="uk-UA"/>
        </w:rPr>
      </w:pPr>
      <w:r w:rsidRPr="00713EB0">
        <w:rPr>
          <w:rFonts w:ascii="Times New Roman" w:hAnsi="Times New Roman" w:cs="Times New Roman"/>
          <w:sz w:val="28"/>
          <w:szCs w:val="28"/>
          <w:lang w:val="uk-UA"/>
        </w:rPr>
        <w:t>Планування як функція управління змінами в умовах VUCA-середовища.</w:t>
      </w:r>
    </w:p>
    <w:p w14:paraId="018DF4EE" w14:textId="77777777" w:rsidR="00713EB0" w:rsidRDefault="00713EB0" w:rsidP="000D5701">
      <w:pPr>
        <w:spacing w:after="0" w:line="360" w:lineRule="auto"/>
        <w:ind w:firstLine="810"/>
        <w:jc w:val="both"/>
        <w:rPr>
          <w:rFonts w:ascii="Times New Roman" w:hAnsi="Times New Roman" w:cs="Times New Roman"/>
          <w:sz w:val="28"/>
          <w:szCs w:val="28"/>
          <w:lang w:val="uk-UA"/>
        </w:rPr>
      </w:pPr>
    </w:p>
    <w:p w14:paraId="0DE3D7C0" w14:textId="469EDAE2" w:rsidR="00713EB0" w:rsidRPr="00713EB0" w:rsidRDefault="00713EB0" w:rsidP="000D5701">
      <w:pPr>
        <w:spacing w:after="0" w:line="360" w:lineRule="auto"/>
        <w:ind w:firstLine="810"/>
        <w:jc w:val="both"/>
        <w:rPr>
          <w:rFonts w:ascii="Times New Roman" w:hAnsi="Times New Roman" w:cs="Times New Roman"/>
          <w:sz w:val="28"/>
          <w:szCs w:val="28"/>
          <w:lang w:val="uk-UA"/>
        </w:rPr>
      </w:pPr>
      <w:r w:rsidRPr="00713EB0">
        <w:rPr>
          <w:rFonts w:ascii="Times New Roman" w:hAnsi="Times New Roman" w:cs="Times New Roman"/>
          <w:sz w:val="28"/>
          <w:szCs w:val="28"/>
          <w:lang w:val="uk-UA"/>
        </w:rPr>
        <w:t>1.</w:t>
      </w:r>
      <w:r w:rsidRPr="00713EB0">
        <w:rPr>
          <w:rFonts w:ascii="Times New Roman" w:hAnsi="Times New Roman" w:cs="Times New Roman"/>
          <w:sz w:val="28"/>
          <w:szCs w:val="28"/>
          <w:lang w:val="uk-UA"/>
        </w:rPr>
        <w:tab/>
        <w:t>Рівні планування: стратегічний, тактичний, оперативний</w:t>
      </w:r>
    </w:p>
    <w:p w14:paraId="4A5D6FF4" w14:textId="77777777" w:rsidR="00713EB0" w:rsidRDefault="00713EB0" w:rsidP="000D5701">
      <w:pPr>
        <w:spacing w:after="0" w:line="360" w:lineRule="auto"/>
        <w:ind w:firstLine="810"/>
        <w:jc w:val="both"/>
        <w:rPr>
          <w:rFonts w:ascii="Times New Roman" w:hAnsi="Times New Roman" w:cs="Times New Roman"/>
          <w:sz w:val="28"/>
          <w:szCs w:val="28"/>
          <w:lang w:val="uk-UA"/>
        </w:rPr>
      </w:pPr>
    </w:p>
    <w:p w14:paraId="78182ED6" w14:textId="141665C4"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Планування бізнес-процесів є фундаментальною функцією менеджменту, що перетворює абстрактну місію та стратегічне бачення організації на вимірні та керовані дії. У сучасній економіці бізнес-процеси виступають як динамічні носії стратегії; будь-яка неефективність у їхньому виконанні автоматично призводить до провалу найдосконалішої стратегії. Управлінський виклик полягає у подоланні так званого </w:t>
      </w:r>
      <w:proofErr w:type="spellStart"/>
      <w:r w:rsidRPr="00967C53">
        <w:rPr>
          <w:rFonts w:ascii="Times New Roman" w:hAnsi="Times New Roman" w:cs="Times New Roman"/>
          <w:sz w:val="28"/>
          <w:szCs w:val="28"/>
          <w:lang w:val="uk-UA"/>
        </w:rPr>
        <w:t>Execution</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Gap</w:t>
      </w:r>
      <w:proofErr w:type="spellEnd"/>
      <w:r w:rsidRPr="00967C53">
        <w:rPr>
          <w:rFonts w:ascii="Times New Roman" w:hAnsi="Times New Roman" w:cs="Times New Roman"/>
          <w:sz w:val="28"/>
          <w:szCs w:val="28"/>
          <w:lang w:val="uk-UA"/>
        </w:rPr>
        <w:t xml:space="preserve"> (розриву між стратегією та її виконанням). Для ефективного подолання цього розриву необхідне використання інтегрованих систем, таких як </w:t>
      </w:r>
      <w:r w:rsidR="000D5701" w:rsidRPr="00967C53">
        <w:rPr>
          <w:rFonts w:ascii="Times New Roman" w:hAnsi="Times New Roman" w:cs="Times New Roman"/>
          <w:sz w:val="28"/>
          <w:szCs w:val="28"/>
          <w:lang w:val="uk-UA"/>
        </w:rPr>
        <w:t xml:space="preserve">Збалансована система показників </w:t>
      </w:r>
      <w:r w:rsidRPr="00967C53">
        <w:rPr>
          <w:rFonts w:ascii="Times New Roman" w:hAnsi="Times New Roman" w:cs="Times New Roman"/>
          <w:sz w:val="28"/>
          <w:szCs w:val="28"/>
          <w:lang w:val="uk-UA"/>
        </w:rPr>
        <w:t>(</w:t>
      </w:r>
      <w:proofErr w:type="spellStart"/>
      <w:r w:rsidRPr="00967C53">
        <w:rPr>
          <w:rFonts w:ascii="Times New Roman" w:hAnsi="Times New Roman" w:cs="Times New Roman"/>
          <w:sz w:val="28"/>
          <w:szCs w:val="28"/>
          <w:lang w:val="uk-UA"/>
        </w:rPr>
        <w:t>Balanced</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Scorecard</w:t>
      </w:r>
      <w:proofErr w:type="spellEnd"/>
      <w:r w:rsidRPr="00967C53">
        <w:rPr>
          <w:rFonts w:ascii="Times New Roman" w:hAnsi="Times New Roman" w:cs="Times New Roman"/>
          <w:sz w:val="28"/>
          <w:szCs w:val="28"/>
          <w:lang w:val="uk-UA"/>
        </w:rPr>
        <w:t xml:space="preserve">, BSC) та аналіз </w:t>
      </w:r>
      <w:r w:rsidR="000D5701" w:rsidRPr="00967C53">
        <w:rPr>
          <w:rFonts w:ascii="Times New Roman" w:hAnsi="Times New Roman" w:cs="Times New Roman"/>
          <w:sz w:val="28"/>
          <w:szCs w:val="28"/>
          <w:lang w:val="uk-UA"/>
        </w:rPr>
        <w:t xml:space="preserve">ланцюжка цінності </w:t>
      </w:r>
      <w:r w:rsidRPr="00967C53">
        <w:rPr>
          <w:rFonts w:ascii="Times New Roman" w:hAnsi="Times New Roman" w:cs="Times New Roman"/>
          <w:sz w:val="28"/>
          <w:szCs w:val="28"/>
          <w:lang w:val="uk-UA"/>
        </w:rPr>
        <w:t>(</w:t>
      </w:r>
      <w:proofErr w:type="spellStart"/>
      <w:r w:rsidRPr="00967C53">
        <w:rPr>
          <w:rFonts w:ascii="Times New Roman" w:hAnsi="Times New Roman" w:cs="Times New Roman"/>
          <w:sz w:val="28"/>
          <w:szCs w:val="28"/>
          <w:lang w:val="uk-UA"/>
        </w:rPr>
        <w:t>Value</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Chain</w:t>
      </w:r>
      <w:proofErr w:type="spellEnd"/>
      <w:r w:rsidRPr="00967C53">
        <w:rPr>
          <w:rFonts w:ascii="Times New Roman" w:hAnsi="Times New Roman" w:cs="Times New Roman"/>
          <w:sz w:val="28"/>
          <w:szCs w:val="28"/>
          <w:lang w:val="uk-UA"/>
        </w:rPr>
        <w:t>), які забезпечують необхідну каузальність та структурну архітектуру.</w:t>
      </w:r>
    </w:p>
    <w:p w14:paraId="52C9CD7D"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Логіка планування має пройти шлях від визначення часового та ієрархічного горизонту (Рівні планування) до встановлення причинно-наслідкових </w:t>
      </w:r>
      <w:proofErr w:type="spellStart"/>
      <w:r w:rsidRPr="00967C53">
        <w:rPr>
          <w:rFonts w:ascii="Times New Roman" w:hAnsi="Times New Roman" w:cs="Times New Roman"/>
          <w:sz w:val="28"/>
          <w:szCs w:val="28"/>
          <w:lang w:val="uk-UA"/>
        </w:rPr>
        <w:t>зв’язків</w:t>
      </w:r>
      <w:proofErr w:type="spellEnd"/>
      <w:r w:rsidRPr="00967C53">
        <w:rPr>
          <w:rFonts w:ascii="Times New Roman" w:hAnsi="Times New Roman" w:cs="Times New Roman"/>
          <w:sz w:val="28"/>
          <w:szCs w:val="28"/>
          <w:lang w:val="uk-UA"/>
        </w:rPr>
        <w:t xml:space="preserve"> (BSC), структурної декомпозиції діяльності (Ланцюжок Цінності) та, зрештою, до забезпечення адаптивності до динамічного зовнішнього середовища (VUCA).</w:t>
      </w:r>
    </w:p>
    <w:p w14:paraId="1F1ECC39"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Планування у системі стратегічного управління реалізується через ієрархічно узгоджену систему планів, які різняться за горизонтом, деталізацією та </w:t>
      </w:r>
      <w:r w:rsidRPr="00967C53">
        <w:rPr>
          <w:rFonts w:ascii="Times New Roman" w:hAnsi="Times New Roman" w:cs="Times New Roman"/>
          <w:sz w:val="28"/>
          <w:szCs w:val="28"/>
          <w:lang w:val="uk-UA"/>
        </w:rPr>
        <w:lastRenderedPageBreak/>
        <w:t>функціональним фокусом. Ці рівні забезпечують вертикальну інтеграцію, гарантуючи, що щоденна робота сприяє довгостроковим цілям.</w:t>
      </w:r>
    </w:p>
    <w:p w14:paraId="7DABF67C" w14:textId="657DA0C1" w:rsidR="00967C53" w:rsidRPr="00967C53" w:rsidRDefault="007F07AB" w:rsidP="007F07AB">
      <w:pPr>
        <w:spacing w:after="0" w:line="360" w:lineRule="auto"/>
        <w:ind w:firstLine="81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67C53" w:rsidRPr="00967C53">
        <w:rPr>
          <w:rFonts w:ascii="Times New Roman" w:hAnsi="Times New Roman" w:cs="Times New Roman"/>
          <w:sz w:val="28"/>
          <w:szCs w:val="28"/>
          <w:lang w:val="uk-UA"/>
        </w:rPr>
        <w:t>. Стратегічне плануванн</w:t>
      </w:r>
      <w:r>
        <w:rPr>
          <w:rFonts w:ascii="Times New Roman" w:hAnsi="Times New Roman" w:cs="Times New Roman"/>
          <w:sz w:val="28"/>
          <w:szCs w:val="28"/>
          <w:lang w:val="uk-UA"/>
        </w:rPr>
        <w:t xml:space="preserve">я </w:t>
      </w:r>
      <w:r w:rsidR="00967C53" w:rsidRPr="00967C53">
        <w:rPr>
          <w:rFonts w:ascii="Times New Roman" w:hAnsi="Times New Roman" w:cs="Times New Roman"/>
          <w:sz w:val="28"/>
          <w:szCs w:val="28"/>
          <w:lang w:val="uk-UA"/>
        </w:rPr>
        <w:t>фокусується на визначенні довгострокового бачення, місії та цілей, зазвичай охоплюючи горизонт від трьох до п'яти і більше років. Ключовими виходами цього рівня є Стратегічний план, який включає всебічний аналіз джерел фінансування та прогноз інвестицій.</w:t>
      </w:r>
      <w:r w:rsidR="00967C53" w:rsidRPr="00967C53">
        <w:rPr>
          <w:rFonts w:ascii="Times New Roman" w:hAnsi="Times New Roman" w:cs="Times New Roman"/>
          <w:sz w:val="28"/>
          <w:szCs w:val="28"/>
          <w:vertAlign w:val="superscript"/>
          <w:lang w:val="uk-UA"/>
        </w:rPr>
        <w:t>1</w:t>
      </w:r>
      <w:r w:rsidR="00967C53" w:rsidRPr="00967C53">
        <w:rPr>
          <w:rFonts w:ascii="Times New Roman" w:hAnsi="Times New Roman" w:cs="Times New Roman"/>
          <w:sz w:val="28"/>
          <w:szCs w:val="28"/>
          <w:lang w:val="uk-UA"/>
        </w:rPr>
        <w:t xml:space="preserve"> Функціональний фокус стратегічного планування полягає у виборі тих напрямків, які забезпечать організації стійку конкурентну перевагу на ринку.</w:t>
      </w:r>
    </w:p>
    <w:p w14:paraId="51D0DEAB" w14:textId="781692B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2. Тактичне (Поточне) планування</w:t>
      </w:r>
      <w:r w:rsidR="007F07AB">
        <w:rPr>
          <w:rFonts w:ascii="Times New Roman" w:hAnsi="Times New Roman" w:cs="Times New Roman"/>
          <w:sz w:val="28"/>
          <w:szCs w:val="28"/>
          <w:lang w:val="uk-UA"/>
        </w:rPr>
        <w:t xml:space="preserve"> </w:t>
      </w:r>
      <w:r w:rsidRPr="00967C53">
        <w:rPr>
          <w:rFonts w:ascii="Times New Roman" w:hAnsi="Times New Roman" w:cs="Times New Roman"/>
          <w:sz w:val="28"/>
          <w:szCs w:val="28"/>
          <w:lang w:val="uk-UA"/>
        </w:rPr>
        <w:t xml:space="preserve">служить мостом між </w:t>
      </w:r>
      <w:proofErr w:type="spellStart"/>
      <w:r w:rsidRPr="00967C53">
        <w:rPr>
          <w:rFonts w:ascii="Times New Roman" w:hAnsi="Times New Roman" w:cs="Times New Roman"/>
          <w:sz w:val="28"/>
          <w:szCs w:val="28"/>
          <w:lang w:val="uk-UA"/>
        </w:rPr>
        <w:t>високорівневими</w:t>
      </w:r>
      <w:proofErr w:type="spellEnd"/>
      <w:r w:rsidRPr="00967C53">
        <w:rPr>
          <w:rFonts w:ascii="Times New Roman" w:hAnsi="Times New Roman" w:cs="Times New Roman"/>
          <w:sz w:val="28"/>
          <w:szCs w:val="28"/>
          <w:lang w:val="uk-UA"/>
        </w:rPr>
        <w:t xml:space="preserve"> стратегічними цілями та щоденними операціями. Його основна мета — розподіл ресурсів та формування функціональних програм, необхідних для досягнення цілей протягом річного горизонту.</w:t>
      </w:r>
    </w:p>
    <w:p w14:paraId="54FB1758"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Ключовим інструментом на цьому рівні є бюджетування. Бюджети є не просто фінансовими документами, а основним інструментом розподілу </w:t>
      </w:r>
      <w:proofErr w:type="spellStart"/>
      <w:r w:rsidRPr="00967C53">
        <w:rPr>
          <w:rFonts w:ascii="Times New Roman" w:hAnsi="Times New Roman" w:cs="Times New Roman"/>
          <w:sz w:val="28"/>
          <w:szCs w:val="28"/>
          <w:lang w:val="uk-UA"/>
        </w:rPr>
        <w:t>внутрішньокорпоративних</w:t>
      </w:r>
      <w:proofErr w:type="spellEnd"/>
      <w:r w:rsidRPr="00967C53">
        <w:rPr>
          <w:rFonts w:ascii="Times New Roman" w:hAnsi="Times New Roman" w:cs="Times New Roman"/>
          <w:sz w:val="28"/>
          <w:szCs w:val="28"/>
          <w:lang w:val="uk-UA"/>
        </w:rPr>
        <w:t xml:space="preserve"> ресурсів і контролю поточної діяльності.</w:t>
      </w:r>
      <w:r w:rsidRPr="00967C53">
        <w:rPr>
          <w:rFonts w:ascii="Times New Roman" w:hAnsi="Times New Roman" w:cs="Times New Roman"/>
          <w:sz w:val="28"/>
          <w:szCs w:val="28"/>
          <w:vertAlign w:val="superscript"/>
          <w:lang w:val="uk-UA"/>
        </w:rPr>
        <w:t>2</w:t>
      </w:r>
      <w:r w:rsidRPr="00967C53">
        <w:rPr>
          <w:rFonts w:ascii="Times New Roman" w:hAnsi="Times New Roman" w:cs="Times New Roman"/>
          <w:sz w:val="28"/>
          <w:szCs w:val="28"/>
          <w:lang w:val="uk-UA"/>
        </w:rPr>
        <w:t xml:space="preserve"> Вони структуруються як за великими виробничо-господарськими функціями (наприклад, НДДКР, маркетинг, виробництво), так і за окремими структурними одиницями (відділеннями, заводами).</w:t>
      </w:r>
      <w:r w:rsidRPr="00967C53">
        <w:rPr>
          <w:rFonts w:ascii="Times New Roman" w:hAnsi="Times New Roman" w:cs="Times New Roman"/>
          <w:sz w:val="28"/>
          <w:szCs w:val="28"/>
          <w:vertAlign w:val="superscript"/>
          <w:lang w:val="uk-UA"/>
        </w:rPr>
        <w:t>2</w:t>
      </w:r>
      <w:r w:rsidRPr="00967C53">
        <w:rPr>
          <w:rFonts w:ascii="Times New Roman" w:hAnsi="Times New Roman" w:cs="Times New Roman"/>
          <w:sz w:val="28"/>
          <w:szCs w:val="28"/>
          <w:lang w:val="uk-UA"/>
        </w:rPr>
        <w:t xml:space="preserve"> Цикл узгодження тактичного плану є досить тривалим, включаючи зведені розрахунки стратегічного плану та розробку поточних планів на наступний рік, що зазвичай відбувається у період Жовтня–Листопада.</w:t>
      </w:r>
      <w:r w:rsidRPr="00967C53">
        <w:rPr>
          <w:rFonts w:ascii="Times New Roman" w:hAnsi="Times New Roman" w:cs="Times New Roman"/>
          <w:sz w:val="28"/>
          <w:szCs w:val="28"/>
          <w:vertAlign w:val="superscript"/>
          <w:lang w:val="uk-UA"/>
        </w:rPr>
        <w:t>1</w:t>
      </w:r>
    </w:p>
    <w:p w14:paraId="1281B199" w14:textId="35B1A8AC" w:rsidR="00967C53" w:rsidRPr="00967C53" w:rsidRDefault="00967C53" w:rsidP="007F07AB">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3. Оперативне планування</w:t>
      </w:r>
      <w:r w:rsidR="007F07AB">
        <w:rPr>
          <w:rFonts w:ascii="Times New Roman" w:hAnsi="Times New Roman" w:cs="Times New Roman"/>
          <w:sz w:val="28"/>
          <w:szCs w:val="28"/>
          <w:lang w:val="uk-UA"/>
        </w:rPr>
        <w:t xml:space="preserve"> </w:t>
      </w:r>
      <w:r w:rsidRPr="00967C53">
        <w:rPr>
          <w:rFonts w:ascii="Times New Roman" w:hAnsi="Times New Roman" w:cs="Times New Roman"/>
          <w:sz w:val="28"/>
          <w:szCs w:val="28"/>
          <w:lang w:val="uk-UA"/>
        </w:rPr>
        <w:t>є найбільш детальним і фокусується на короткостроковому управлінні ресурсами та процесами (від дня до місяця). Дії на цьому рівні включають підготовку відділами оперативних кошторисів та розробку організаційних планів-графіків, які затверджуються наприкінці року (Листопад–Грудень).</w:t>
      </w:r>
      <w:r w:rsidRPr="00967C53">
        <w:rPr>
          <w:rFonts w:ascii="Times New Roman" w:hAnsi="Times New Roman" w:cs="Times New Roman"/>
          <w:sz w:val="28"/>
          <w:szCs w:val="28"/>
          <w:vertAlign w:val="superscript"/>
          <w:lang w:val="uk-UA"/>
        </w:rPr>
        <w:t>1</w:t>
      </w:r>
      <w:r w:rsidRPr="00967C53">
        <w:rPr>
          <w:rFonts w:ascii="Times New Roman" w:hAnsi="Times New Roman" w:cs="Times New Roman"/>
          <w:sz w:val="28"/>
          <w:szCs w:val="28"/>
          <w:lang w:val="uk-UA"/>
        </w:rPr>
        <w:t xml:space="preserve"> Безпосередній зв'язок з бізнес-процесами тут є максимальним, оскільки оперативне планування стосується оптимізації конкретних кроків, таких як графіки виробництва або час обробки замовлення.</w:t>
      </w:r>
    </w:p>
    <w:p w14:paraId="1AB4A11A" w14:textId="5C6A70BE"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Процес вертикального </w:t>
      </w:r>
      <w:proofErr w:type="spellStart"/>
      <w:r w:rsidRPr="00967C53">
        <w:rPr>
          <w:rFonts w:ascii="Times New Roman" w:hAnsi="Times New Roman" w:cs="Times New Roman"/>
          <w:sz w:val="28"/>
          <w:szCs w:val="28"/>
          <w:lang w:val="uk-UA"/>
        </w:rPr>
        <w:t>каскадування</w:t>
      </w:r>
      <w:proofErr w:type="spellEnd"/>
      <w:r w:rsidRPr="00967C53">
        <w:rPr>
          <w:rFonts w:ascii="Times New Roman" w:hAnsi="Times New Roman" w:cs="Times New Roman"/>
          <w:sz w:val="28"/>
          <w:szCs w:val="28"/>
          <w:lang w:val="uk-UA"/>
        </w:rPr>
        <w:t xml:space="preserve"> забезпечує узгодженість цілей, починаючи від загальних цілей (наприклад, обсяги продажу) і завершуючи </w:t>
      </w:r>
      <w:r w:rsidRPr="00967C53">
        <w:rPr>
          <w:rFonts w:ascii="Times New Roman" w:hAnsi="Times New Roman" w:cs="Times New Roman"/>
          <w:sz w:val="28"/>
          <w:szCs w:val="28"/>
          <w:lang w:val="uk-UA"/>
        </w:rPr>
        <w:lastRenderedPageBreak/>
        <w:t>підготовкою оперативних кошторисів відділів та підрозділів.</w:t>
      </w:r>
      <w:r w:rsidRPr="00967C53">
        <w:rPr>
          <w:rFonts w:ascii="Times New Roman" w:hAnsi="Times New Roman" w:cs="Times New Roman"/>
          <w:sz w:val="28"/>
          <w:szCs w:val="28"/>
          <w:vertAlign w:val="superscript"/>
          <w:lang w:val="uk-UA"/>
        </w:rPr>
        <w:t>1</w:t>
      </w:r>
      <w:r w:rsidRPr="00967C53">
        <w:rPr>
          <w:rFonts w:ascii="Times New Roman" w:hAnsi="Times New Roman" w:cs="Times New Roman"/>
          <w:sz w:val="28"/>
          <w:szCs w:val="28"/>
          <w:lang w:val="uk-UA"/>
        </w:rPr>
        <w:t xml:space="preserve"> Це гарантує економний підхід до використання всіх типів ресурсів, включаючи сировину, матеріали та фінанси</w:t>
      </w:r>
      <w:r w:rsidR="003365EE">
        <w:rPr>
          <w:rFonts w:ascii="Times New Roman" w:hAnsi="Times New Roman" w:cs="Times New Roman"/>
          <w:sz w:val="28"/>
          <w:szCs w:val="28"/>
          <w:lang w:val="uk-UA"/>
        </w:rPr>
        <w:t>.</w:t>
      </w:r>
    </w:p>
    <w:p w14:paraId="1E952582"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Важливо відзначити, що тактичне бюджетування виступає як примусовий механізм вертикальної інтеграції. Стратегічні плани можуть залишатися лише деклараціями, якщо вони не підкріплені фінансовим розподілом. Бюджетування змушує функціональні підрозділи узгоджувати свої оперативні кошториси з довгостроковими інвестиційними прогнозами стратегії. Таким чином, бюджет стає фінансовим вираженням затвердженої стратегії. Проте, аналіз традиційного циклу планування (Серпень–Грудень) </w:t>
      </w:r>
      <w:r w:rsidRPr="00967C53">
        <w:rPr>
          <w:rFonts w:ascii="Times New Roman" w:hAnsi="Times New Roman" w:cs="Times New Roman"/>
          <w:sz w:val="28"/>
          <w:szCs w:val="28"/>
          <w:vertAlign w:val="superscript"/>
          <w:lang w:val="uk-UA"/>
        </w:rPr>
        <w:t>1</w:t>
      </w:r>
      <w:r w:rsidRPr="00967C53">
        <w:rPr>
          <w:rFonts w:ascii="Times New Roman" w:hAnsi="Times New Roman" w:cs="Times New Roman"/>
          <w:sz w:val="28"/>
          <w:szCs w:val="28"/>
          <w:lang w:val="uk-UA"/>
        </w:rPr>
        <w:t xml:space="preserve"> демонструє проблему часової ригідності. На етапі затвердження організаційних планів-графіків можливості для корекції є мінімальними, що створює значне протиріччя з вимогами VUCA-середовища, яке вимагає швидкої та постійної адаптації. Це обумовлює необхідність переходу до ітеративного, а не суворо річного, планування.</w:t>
      </w:r>
    </w:p>
    <w:tbl>
      <w:tblPr>
        <w:tblStyle w:val="TableGrid"/>
        <w:tblW w:w="0" w:type="auto"/>
        <w:tblLook w:val="04A0" w:firstRow="1" w:lastRow="0" w:firstColumn="1" w:lastColumn="0" w:noHBand="0" w:noVBand="1"/>
      </w:tblPr>
      <w:tblGrid>
        <w:gridCol w:w="1963"/>
        <w:gridCol w:w="3135"/>
        <w:gridCol w:w="1319"/>
        <w:gridCol w:w="3546"/>
      </w:tblGrid>
      <w:tr w:rsidR="000D5701" w:rsidRPr="00967C53" w14:paraId="4EF8ED07" w14:textId="77777777" w:rsidTr="003365EE">
        <w:tc>
          <w:tcPr>
            <w:tcW w:w="0" w:type="auto"/>
            <w:hideMark/>
          </w:tcPr>
          <w:p w14:paraId="5ACCB581"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Рівень Планування</w:t>
            </w:r>
          </w:p>
        </w:tc>
        <w:tc>
          <w:tcPr>
            <w:tcW w:w="0" w:type="auto"/>
            <w:hideMark/>
          </w:tcPr>
          <w:p w14:paraId="7A5C086D" w14:textId="13426E3B" w:rsidR="00967C53" w:rsidRPr="00967C53" w:rsidRDefault="003365EE" w:rsidP="003365EE">
            <w:pPr>
              <w:jc w:val="both"/>
              <w:rPr>
                <w:rFonts w:ascii="Times New Roman" w:hAnsi="Times New Roman" w:cs="Times New Roman"/>
                <w:lang w:val="uk-UA"/>
              </w:rPr>
            </w:pPr>
            <w:r w:rsidRPr="00967C53">
              <w:rPr>
                <w:rFonts w:ascii="Times New Roman" w:hAnsi="Times New Roman" w:cs="Times New Roman"/>
                <w:lang w:val="uk-UA"/>
              </w:rPr>
              <w:t>Фокус та мета</w:t>
            </w:r>
          </w:p>
        </w:tc>
        <w:tc>
          <w:tcPr>
            <w:tcW w:w="0" w:type="auto"/>
            <w:hideMark/>
          </w:tcPr>
          <w:p w14:paraId="37BC3363"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Горизонт</w:t>
            </w:r>
          </w:p>
        </w:tc>
        <w:tc>
          <w:tcPr>
            <w:tcW w:w="0" w:type="auto"/>
            <w:hideMark/>
          </w:tcPr>
          <w:p w14:paraId="4A0C251F" w14:textId="3382ABE1" w:rsidR="00967C53" w:rsidRPr="00967C53" w:rsidRDefault="003365EE" w:rsidP="003365EE">
            <w:pPr>
              <w:jc w:val="both"/>
              <w:rPr>
                <w:rFonts w:ascii="Times New Roman" w:hAnsi="Times New Roman" w:cs="Times New Roman"/>
                <w:lang w:val="uk-UA"/>
              </w:rPr>
            </w:pPr>
            <w:r w:rsidRPr="00967C53">
              <w:rPr>
                <w:rFonts w:ascii="Times New Roman" w:hAnsi="Times New Roman" w:cs="Times New Roman"/>
                <w:lang w:val="uk-UA"/>
              </w:rPr>
              <w:t>Основні інструменти</w:t>
            </w:r>
          </w:p>
        </w:tc>
      </w:tr>
      <w:tr w:rsidR="000D5701" w:rsidRPr="00967C53" w14:paraId="7D709E0F" w14:textId="77777777" w:rsidTr="003365EE">
        <w:tc>
          <w:tcPr>
            <w:tcW w:w="0" w:type="auto"/>
            <w:hideMark/>
          </w:tcPr>
          <w:p w14:paraId="3EAA0C6B"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Стратегічний</w:t>
            </w:r>
          </w:p>
        </w:tc>
        <w:tc>
          <w:tcPr>
            <w:tcW w:w="0" w:type="auto"/>
            <w:hideMark/>
          </w:tcPr>
          <w:p w14:paraId="1CAB4DC6"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Визначення довгострокової конкурентної позиції</w:t>
            </w:r>
          </w:p>
        </w:tc>
        <w:tc>
          <w:tcPr>
            <w:tcW w:w="0" w:type="auto"/>
            <w:hideMark/>
          </w:tcPr>
          <w:p w14:paraId="72D363CB"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3–5+ років</w:t>
            </w:r>
          </w:p>
        </w:tc>
        <w:tc>
          <w:tcPr>
            <w:tcW w:w="0" w:type="auto"/>
            <w:hideMark/>
          </w:tcPr>
          <w:p w14:paraId="32A84BCC"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 xml:space="preserve">Стратегічний план, інвестиційні прогнози </w:t>
            </w:r>
            <w:r w:rsidRPr="00967C53">
              <w:rPr>
                <w:rFonts w:ascii="Times New Roman" w:hAnsi="Times New Roman" w:cs="Times New Roman"/>
                <w:vertAlign w:val="superscript"/>
                <w:lang w:val="uk-UA"/>
              </w:rPr>
              <w:t>1</w:t>
            </w:r>
          </w:p>
        </w:tc>
      </w:tr>
      <w:tr w:rsidR="000D5701" w:rsidRPr="00967C53" w14:paraId="02425879" w14:textId="77777777" w:rsidTr="003365EE">
        <w:tc>
          <w:tcPr>
            <w:tcW w:w="0" w:type="auto"/>
            <w:hideMark/>
          </w:tcPr>
          <w:p w14:paraId="646C9431"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Тактичний (Поточний)</w:t>
            </w:r>
          </w:p>
        </w:tc>
        <w:tc>
          <w:tcPr>
            <w:tcW w:w="0" w:type="auto"/>
            <w:hideMark/>
          </w:tcPr>
          <w:p w14:paraId="347E07A0"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Розподіл ресурсів для досягнення річних цілей</w:t>
            </w:r>
          </w:p>
        </w:tc>
        <w:tc>
          <w:tcPr>
            <w:tcW w:w="0" w:type="auto"/>
            <w:hideMark/>
          </w:tcPr>
          <w:p w14:paraId="61F74736"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1 рік</w:t>
            </w:r>
          </w:p>
        </w:tc>
        <w:tc>
          <w:tcPr>
            <w:tcW w:w="0" w:type="auto"/>
            <w:hideMark/>
          </w:tcPr>
          <w:p w14:paraId="6673C466"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 xml:space="preserve">Річні бюджети (за функціями та підрозділами) </w:t>
            </w:r>
            <w:r w:rsidRPr="00967C53">
              <w:rPr>
                <w:rFonts w:ascii="Times New Roman" w:hAnsi="Times New Roman" w:cs="Times New Roman"/>
                <w:vertAlign w:val="superscript"/>
                <w:lang w:val="uk-UA"/>
              </w:rPr>
              <w:t>1</w:t>
            </w:r>
          </w:p>
        </w:tc>
      </w:tr>
      <w:tr w:rsidR="000D5701" w:rsidRPr="00967C53" w14:paraId="10110C7B" w14:textId="77777777" w:rsidTr="003365EE">
        <w:tc>
          <w:tcPr>
            <w:tcW w:w="0" w:type="auto"/>
            <w:hideMark/>
          </w:tcPr>
          <w:p w14:paraId="4648BE26"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Оперативний</w:t>
            </w:r>
          </w:p>
        </w:tc>
        <w:tc>
          <w:tcPr>
            <w:tcW w:w="0" w:type="auto"/>
            <w:hideMark/>
          </w:tcPr>
          <w:p w14:paraId="6FB38761"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Забезпечення щоденної ефективності процесів</w:t>
            </w:r>
          </w:p>
        </w:tc>
        <w:tc>
          <w:tcPr>
            <w:tcW w:w="0" w:type="auto"/>
            <w:hideMark/>
          </w:tcPr>
          <w:p w14:paraId="555D8155"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День–Місяць</w:t>
            </w:r>
          </w:p>
        </w:tc>
        <w:tc>
          <w:tcPr>
            <w:tcW w:w="0" w:type="auto"/>
            <w:hideMark/>
          </w:tcPr>
          <w:p w14:paraId="7F3785B2" w14:textId="77777777" w:rsidR="00967C53" w:rsidRPr="00967C53" w:rsidRDefault="00967C53" w:rsidP="003365EE">
            <w:pPr>
              <w:jc w:val="both"/>
              <w:rPr>
                <w:rFonts w:ascii="Times New Roman" w:hAnsi="Times New Roman" w:cs="Times New Roman"/>
                <w:lang w:val="uk-UA"/>
              </w:rPr>
            </w:pPr>
            <w:r w:rsidRPr="00967C53">
              <w:rPr>
                <w:rFonts w:ascii="Times New Roman" w:hAnsi="Times New Roman" w:cs="Times New Roman"/>
                <w:lang w:val="uk-UA"/>
              </w:rPr>
              <w:t xml:space="preserve">Плани-графіки, оперативні кошториси, KPI співробітників </w:t>
            </w:r>
            <w:r w:rsidRPr="00967C53">
              <w:rPr>
                <w:rFonts w:ascii="Times New Roman" w:hAnsi="Times New Roman" w:cs="Times New Roman"/>
                <w:vertAlign w:val="superscript"/>
                <w:lang w:val="uk-UA"/>
              </w:rPr>
              <w:t>3</w:t>
            </w:r>
          </w:p>
        </w:tc>
      </w:tr>
    </w:tbl>
    <w:p w14:paraId="79188640" w14:textId="3708A663" w:rsidR="00967C53" w:rsidRPr="00967C53" w:rsidRDefault="00967C53" w:rsidP="000D5701">
      <w:pPr>
        <w:spacing w:after="0" w:line="360" w:lineRule="auto"/>
        <w:ind w:firstLine="810"/>
        <w:jc w:val="both"/>
        <w:rPr>
          <w:rFonts w:ascii="Times New Roman" w:hAnsi="Times New Roman" w:cs="Times New Roman"/>
          <w:sz w:val="28"/>
          <w:szCs w:val="28"/>
          <w:lang w:val="uk-UA"/>
        </w:rPr>
      </w:pPr>
    </w:p>
    <w:p w14:paraId="3CE32E9A"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2. Взаємозв’язок між підсистемами «Фінанси – Споживач – Процеси – Персонал»</w:t>
      </w:r>
    </w:p>
    <w:p w14:paraId="727F8C67" w14:textId="46D80728"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Для перекладу стратегії на мову бізнес-процесів використовується модель Збалансованої Системи Показників (BSC), яка базується на причинно-наслідковому взаємозв’язку чотирьох ключових перспектив. Стратегія, по суті, є набором гіпотез про причини і наслідки, які необхідно перевіряти.</w:t>
      </w:r>
    </w:p>
    <w:p w14:paraId="321D7CF4" w14:textId="6897550F"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Система BSC розглядає діяльність організації за чотирма критеріями: фінанси, взаємини з клієнтами, внутрішні процеси та навчання і розвиток персоналу. Фундаментальний принцип полягає в тому, що нефінансові показники </w:t>
      </w:r>
      <w:r w:rsidRPr="00967C53">
        <w:rPr>
          <w:rFonts w:ascii="Times New Roman" w:hAnsi="Times New Roman" w:cs="Times New Roman"/>
          <w:sz w:val="28"/>
          <w:szCs w:val="28"/>
          <w:lang w:val="uk-UA"/>
        </w:rPr>
        <w:lastRenderedPageBreak/>
        <w:t>(Персонал, Процеси) є драйверами (причинами), які створюють необхідні умови для досягнення бажаних фінансових результатів (наслідків).</w:t>
      </w:r>
    </w:p>
    <w:p w14:paraId="304F7701"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Цей стратегічний ланцюг цінності (або Стратегічна Карта) будується наступним чином:</w:t>
      </w:r>
    </w:p>
    <w:p w14:paraId="73953D73" w14:textId="77777777" w:rsidR="00967C53" w:rsidRPr="00967C53" w:rsidRDefault="00967C53" w:rsidP="000D5701">
      <w:pPr>
        <w:numPr>
          <w:ilvl w:val="0"/>
          <w:numId w:val="1"/>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Перспектива Навчання та Розвитку (Персонал): Інвестиції у компетенції, технологічну інфраструктуру та організаційний клімат. Це базова умова, яка, якщо інвестиції в навчання є успішними, призводить до покращення внутрішніх процесів.</w:t>
      </w:r>
    </w:p>
    <w:p w14:paraId="3F6347AF" w14:textId="77777777" w:rsidR="00967C53" w:rsidRPr="00967C53" w:rsidRDefault="00967C53" w:rsidP="000D5701">
      <w:pPr>
        <w:numPr>
          <w:ilvl w:val="0"/>
          <w:numId w:val="1"/>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Перспектива Внутрішніх Бізнес-Процесів: Фокусується на оптимізації та інноваціях у тих процесах, які були визначені як стратегічно критичні (з використанням Ланцюжка Цінності). Якщо процеси оптимізовані, це підвищує якість обслуговування клієнтів.</w:t>
      </w:r>
    </w:p>
    <w:p w14:paraId="5EC1D56C" w14:textId="77777777" w:rsidR="00967C53" w:rsidRPr="00967C53" w:rsidRDefault="00967C53" w:rsidP="000D5701">
      <w:pPr>
        <w:numPr>
          <w:ilvl w:val="0"/>
          <w:numId w:val="1"/>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Перспектива Клієнтів (Споживач): Вимірює результат ефективних процесів через показники лояльності, задоволеності та частки ринку. Якщо якість обслуговування зростає, це призводить до збільшення прибутковості.</w:t>
      </w:r>
    </w:p>
    <w:p w14:paraId="4D2569B3" w14:textId="6E0D9E55" w:rsidR="00967C53" w:rsidRPr="00967C53" w:rsidRDefault="00967C53" w:rsidP="000D5701">
      <w:pPr>
        <w:numPr>
          <w:ilvl w:val="0"/>
          <w:numId w:val="1"/>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Фінансова Перспектива: Кінцевий результат стратегії, вимірюваний через традиційні показники, такі як чистий прибуток, виробнича собівартість або рентабельність.</w:t>
      </w:r>
    </w:p>
    <w:tbl>
      <w:tblPr>
        <w:tblStyle w:val="TableGrid"/>
        <w:tblW w:w="0" w:type="auto"/>
        <w:tblLook w:val="04A0" w:firstRow="1" w:lastRow="0" w:firstColumn="1" w:lastColumn="0" w:noHBand="0" w:noVBand="1"/>
      </w:tblPr>
      <w:tblGrid>
        <w:gridCol w:w="2248"/>
        <w:gridCol w:w="2721"/>
        <w:gridCol w:w="2017"/>
        <w:gridCol w:w="2977"/>
      </w:tblGrid>
      <w:tr w:rsidR="00AF2352" w:rsidRPr="00967C53" w14:paraId="44CFCE10" w14:textId="77777777" w:rsidTr="00AF2352">
        <w:tc>
          <w:tcPr>
            <w:tcW w:w="0" w:type="auto"/>
            <w:hideMark/>
          </w:tcPr>
          <w:p w14:paraId="2F54CD39"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Перспектива (Причина)</w:t>
            </w:r>
          </w:p>
        </w:tc>
        <w:tc>
          <w:tcPr>
            <w:tcW w:w="0" w:type="auto"/>
            <w:hideMark/>
          </w:tcPr>
          <w:p w14:paraId="6351CB56"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Діяльність</w:t>
            </w:r>
          </w:p>
        </w:tc>
        <w:tc>
          <w:tcPr>
            <w:tcW w:w="0" w:type="auto"/>
            <w:hideMark/>
          </w:tcPr>
          <w:p w14:paraId="53F294F5"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Перспектива (Наслідок)</w:t>
            </w:r>
          </w:p>
        </w:tc>
        <w:tc>
          <w:tcPr>
            <w:tcW w:w="0" w:type="auto"/>
            <w:hideMark/>
          </w:tcPr>
          <w:p w14:paraId="1C49585E"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Результат</w:t>
            </w:r>
          </w:p>
        </w:tc>
      </w:tr>
      <w:tr w:rsidR="00AF2352" w:rsidRPr="00967C53" w14:paraId="3F39827D" w14:textId="77777777" w:rsidTr="00AF2352">
        <w:tc>
          <w:tcPr>
            <w:tcW w:w="0" w:type="auto"/>
            <w:hideMark/>
          </w:tcPr>
          <w:p w14:paraId="73211353"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Навчання та Розвиток (Персонал)</w:t>
            </w:r>
          </w:p>
        </w:tc>
        <w:tc>
          <w:tcPr>
            <w:tcW w:w="0" w:type="auto"/>
            <w:hideMark/>
          </w:tcPr>
          <w:p w14:paraId="56EF5D59"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Поліпшення навичок та інноваційний клімат</w:t>
            </w:r>
          </w:p>
        </w:tc>
        <w:tc>
          <w:tcPr>
            <w:tcW w:w="0" w:type="auto"/>
            <w:hideMark/>
          </w:tcPr>
          <w:p w14:paraId="37DD0576"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Внутрішні Бізнес-Процеси</w:t>
            </w:r>
          </w:p>
        </w:tc>
        <w:tc>
          <w:tcPr>
            <w:tcW w:w="0" w:type="auto"/>
            <w:hideMark/>
          </w:tcPr>
          <w:p w14:paraId="35274973"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Оптимізація та підвищення якості процесів</w:t>
            </w:r>
          </w:p>
        </w:tc>
      </w:tr>
      <w:tr w:rsidR="00AF2352" w:rsidRPr="00967C53" w14:paraId="57FFF967" w14:textId="77777777" w:rsidTr="00AF2352">
        <w:tc>
          <w:tcPr>
            <w:tcW w:w="0" w:type="auto"/>
            <w:hideMark/>
          </w:tcPr>
          <w:p w14:paraId="1C4FDAB7"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Внутрішні Бізнес-Процеси</w:t>
            </w:r>
          </w:p>
        </w:tc>
        <w:tc>
          <w:tcPr>
            <w:tcW w:w="0" w:type="auto"/>
            <w:hideMark/>
          </w:tcPr>
          <w:p w14:paraId="3E866823"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Підвищення ефективності та швидкості</w:t>
            </w:r>
          </w:p>
        </w:tc>
        <w:tc>
          <w:tcPr>
            <w:tcW w:w="0" w:type="auto"/>
            <w:hideMark/>
          </w:tcPr>
          <w:p w14:paraId="4555CF65"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Клієнти (Споживачі)</w:t>
            </w:r>
          </w:p>
        </w:tc>
        <w:tc>
          <w:tcPr>
            <w:tcW w:w="0" w:type="auto"/>
            <w:hideMark/>
          </w:tcPr>
          <w:p w14:paraId="080236E1"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 xml:space="preserve">Зростання якості обслуговування та лояльності </w:t>
            </w:r>
            <w:r w:rsidRPr="00967C53">
              <w:rPr>
                <w:rFonts w:ascii="Times New Roman" w:hAnsi="Times New Roman" w:cs="Times New Roman"/>
                <w:vertAlign w:val="superscript"/>
                <w:lang w:val="uk-UA"/>
              </w:rPr>
              <w:t>3</w:t>
            </w:r>
          </w:p>
        </w:tc>
      </w:tr>
      <w:tr w:rsidR="00AF2352" w:rsidRPr="00967C53" w14:paraId="6A41BBA9" w14:textId="77777777" w:rsidTr="00AF2352">
        <w:tc>
          <w:tcPr>
            <w:tcW w:w="0" w:type="auto"/>
            <w:hideMark/>
          </w:tcPr>
          <w:p w14:paraId="120FCFF1"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Клієнти (Споживачі)</w:t>
            </w:r>
          </w:p>
        </w:tc>
        <w:tc>
          <w:tcPr>
            <w:tcW w:w="0" w:type="auto"/>
            <w:hideMark/>
          </w:tcPr>
          <w:p w14:paraId="03A91D22"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Збільшення задоволеності та частки ринку</w:t>
            </w:r>
          </w:p>
        </w:tc>
        <w:tc>
          <w:tcPr>
            <w:tcW w:w="0" w:type="auto"/>
            <w:hideMark/>
          </w:tcPr>
          <w:p w14:paraId="09CF46E5"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Фінанси</w:t>
            </w:r>
          </w:p>
        </w:tc>
        <w:tc>
          <w:tcPr>
            <w:tcW w:w="0" w:type="auto"/>
            <w:hideMark/>
          </w:tcPr>
          <w:p w14:paraId="6FDF72BD" w14:textId="77777777" w:rsidR="00967C53" w:rsidRPr="00967C53" w:rsidRDefault="00967C53" w:rsidP="00AF2352">
            <w:pPr>
              <w:jc w:val="both"/>
              <w:rPr>
                <w:rFonts w:ascii="Times New Roman" w:hAnsi="Times New Roman" w:cs="Times New Roman"/>
                <w:lang w:val="uk-UA"/>
              </w:rPr>
            </w:pPr>
            <w:r w:rsidRPr="00967C53">
              <w:rPr>
                <w:rFonts w:ascii="Times New Roman" w:hAnsi="Times New Roman" w:cs="Times New Roman"/>
                <w:lang w:val="uk-UA"/>
              </w:rPr>
              <w:t xml:space="preserve">Зростання прибутковості та вартості компанії </w:t>
            </w:r>
            <w:r w:rsidRPr="00967C53">
              <w:rPr>
                <w:rFonts w:ascii="Times New Roman" w:hAnsi="Times New Roman" w:cs="Times New Roman"/>
                <w:vertAlign w:val="superscript"/>
                <w:lang w:val="uk-UA"/>
              </w:rPr>
              <w:t>4</w:t>
            </w:r>
          </w:p>
        </w:tc>
      </w:tr>
    </w:tbl>
    <w:p w14:paraId="0EC0A265" w14:textId="77777777" w:rsidR="006E7336" w:rsidRDefault="006E7336" w:rsidP="000D5701">
      <w:pPr>
        <w:spacing w:after="0" w:line="360" w:lineRule="auto"/>
        <w:ind w:firstLine="810"/>
        <w:jc w:val="both"/>
        <w:rPr>
          <w:rFonts w:ascii="Times New Roman" w:hAnsi="Times New Roman" w:cs="Times New Roman"/>
          <w:sz w:val="28"/>
          <w:szCs w:val="28"/>
          <w:lang w:val="uk-UA"/>
        </w:rPr>
      </w:pPr>
    </w:p>
    <w:p w14:paraId="21604104" w14:textId="0E18F9A5"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Кожен показник, включений у ССП, повинен бути нерозривним елементом цього причинно-наслідкового ланцюга.</w:t>
      </w:r>
      <w:r w:rsidR="006E7336">
        <w:rPr>
          <w:rFonts w:ascii="Times New Roman" w:hAnsi="Times New Roman" w:cs="Times New Roman"/>
          <w:sz w:val="28"/>
          <w:szCs w:val="28"/>
          <w:vertAlign w:val="superscript"/>
          <w:lang w:val="uk-UA"/>
        </w:rPr>
        <w:t xml:space="preserve"> </w:t>
      </w:r>
      <w:r w:rsidRPr="00967C53">
        <w:rPr>
          <w:rFonts w:ascii="Times New Roman" w:hAnsi="Times New Roman" w:cs="Times New Roman"/>
          <w:sz w:val="28"/>
          <w:szCs w:val="28"/>
          <w:lang w:val="uk-UA"/>
        </w:rPr>
        <w:t xml:space="preserve">Без цього зв'язку існує високий ризик оптимізації діяльності лише на рівні окремих структурних підрозділів. Така </w:t>
      </w:r>
      <w:proofErr w:type="spellStart"/>
      <w:r w:rsidRPr="00967C53">
        <w:rPr>
          <w:rFonts w:ascii="Times New Roman" w:hAnsi="Times New Roman" w:cs="Times New Roman"/>
          <w:sz w:val="28"/>
          <w:szCs w:val="28"/>
          <w:lang w:val="uk-UA"/>
        </w:rPr>
        <w:lastRenderedPageBreak/>
        <w:t>субоптимізація</w:t>
      </w:r>
      <w:proofErr w:type="spellEnd"/>
      <w:r w:rsidRPr="00967C53">
        <w:rPr>
          <w:rFonts w:ascii="Times New Roman" w:hAnsi="Times New Roman" w:cs="Times New Roman"/>
          <w:sz w:val="28"/>
          <w:szCs w:val="28"/>
          <w:lang w:val="uk-UA"/>
        </w:rPr>
        <w:t xml:space="preserve"> може призвести до покращення ефективності одного відділу, але завдати шкоди загальній стратегічній результативності компанії.</w:t>
      </w:r>
      <w:r w:rsidRPr="00967C53">
        <w:rPr>
          <w:rFonts w:ascii="Times New Roman" w:hAnsi="Times New Roman" w:cs="Times New Roman"/>
          <w:sz w:val="28"/>
          <w:szCs w:val="28"/>
          <w:vertAlign w:val="superscript"/>
          <w:lang w:val="uk-UA"/>
        </w:rPr>
        <w:t>4</w:t>
      </w:r>
    </w:p>
    <w:p w14:paraId="04AAFAB7"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Система BSC забезпечує механізм стратегічного навчання. Оскільки стратегія є гіпотезою, BSC дозволяє менеджменту перевіряти, чи правильні їхні припущення щодо каузальності. Якщо інвестиції у навчання персоналу не призводять до очікуваного покращення внутрішніх процесів, це сигналізує або про стратегічну помилку (хибна гіпотеза), або про виконавчу помилку (неякісне виконання процесу). Цей цикл зворотного зв'язку є критично важливим для адаптації в умовах швидких змін.</w:t>
      </w:r>
      <w:r w:rsidRPr="00967C53">
        <w:rPr>
          <w:rFonts w:ascii="Times New Roman" w:hAnsi="Times New Roman" w:cs="Times New Roman"/>
          <w:sz w:val="28"/>
          <w:szCs w:val="28"/>
          <w:vertAlign w:val="superscript"/>
          <w:lang w:val="uk-UA"/>
        </w:rPr>
        <w:t>5</w:t>
      </w:r>
      <w:r w:rsidRPr="00967C53">
        <w:rPr>
          <w:rFonts w:ascii="Times New Roman" w:hAnsi="Times New Roman" w:cs="Times New Roman"/>
          <w:sz w:val="28"/>
          <w:szCs w:val="28"/>
          <w:lang w:val="uk-UA"/>
        </w:rPr>
        <w:t xml:space="preserve"> Успішне </w:t>
      </w:r>
      <w:proofErr w:type="spellStart"/>
      <w:r w:rsidRPr="00967C53">
        <w:rPr>
          <w:rFonts w:ascii="Times New Roman" w:hAnsi="Times New Roman" w:cs="Times New Roman"/>
          <w:sz w:val="28"/>
          <w:szCs w:val="28"/>
          <w:lang w:val="uk-UA"/>
        </w:rPr>
        <w:t>каскадування</w:t>
      </w:r>
      <w:proofErr w:type="spellEnd"/>
      <w:r w:rsidRPr="00967C53">
        <w:rPr>
          <w:rFonts w:ascii="Times New Roman" w:hAnsi="Times New Roman" w:cs="Times New Roman"/>
          <w:sz w:val="28"/>
          <w:szCs w:val="28"/>
          <w:lang w:val="uk-UA"/>
        </w:rPr>
        <w:t xml:space="preserve"> вимагає жорсткої дисципліни у виборі показників: 15–25 на рівні компанії, але лише 3–5 на рівні співробітника.</w:t>
      </w:r>
      <w:r w:rsidRPr="00967C53">
        <w:rPr>
          <w:rFonts w:ascii="Times New Roman" w:hAnsi="Times New Roman" w:cs="Times New Roman"/>
          <w:sz w:val="28"/>
          <w:szCs w:val="28"/>
          <w:vertAlign w:val="superscript"/>
          <w:lang w:val="uk-UA"/>
        </w:rPr>
        <w:t>3</w:t>
      </w:r>
      <w:r w:rsidRPr="00967C53">
        <w:rPr>
          <w:rFonts w:ascii="Times New Roman" w:hAnsi="Times New Roman" w:cs="Times New Roman"/>
          <w:sz w:val="28"/>
          <w:szCs w:val="28"/>
          <w:lang w:val="uk-UA"/>
        </w:rPr>
        <w:t xml:space="preserve"> Ця вибірковість гарантує, що зусилля на оперативному рівні </w:t>
      </w:r>
      <w:r w:rsidRPr="00967C53">
        <w:rPr>
          <w:rFonts w:ascii="Times New Roman" w:hAnsi="Times New Roman" w:cs="Times New Roman"/>
          <w:sz w:val="28"/>
          <w:szCs w:val="28"/>
          <w:vertAlign w:val="superscript"/>
          <w:lang w:val="uk-UA"/>
        </w:rPr>
        <w:t>1</w:t>
      </w:r>
      <w:r w:rsidRPr="00967C53">
        <w:rPr>
          <w:rFonts w:ascii="Times New Roman" w:hAnsi="Times New Roman" w:cs="Times New Roman"/>
          <w:sz w:val="28"/>
          <w:szCs w:val="28"/>
          <w:lang w:val="uk-UA"/>
        </w:rPr>
        <w:t xml:space="preserve"> сфокусовані та дійсно сприяють кінцевим фінансовим цілям.</w:t>
      </w:r>
      <w:r w:rsidRPr="00967C53">
        <w:rPr>
          <w:rFonts w:ascii="Times New Roman" w:hAnsi="Times New Roman" w:cs="Times New Roman"/>
          <w:sz w:val="28"/>
          <w:szCs w:val="28"/>
          <w:vertAlign w:val="superscript"/>
          <w:lang w:val="uk-UA"/>
        </w:rPr>
        <w:t>3</w:t>
      </w:r>
    </w:p>
    <w:p w14:paraId="4CB6072A" w14:textId="77777777" w:rsidR="006E7336" w:rsidRDefault="006E7336" w:rsidP="000D5701">
      <w:pPr>
        <w:spacing w:after="0" w:line="360" w:lineRule="auto"/>
        <w:ind w:firstLine="810"/>
        <w:jc w:val="both"/>
        <w:rPr>
          <w:rFonts w:ascii="Times New Roman" w:hAnsi="Times New Roman" w:cs="Times New Roman"/>
          <w:sz w:val="28"/>
          <w:szCs w:val="28"/>
          <w:lang w:val="uk-UA"/>
        </w:rPr>
      </w:pPr>
    </w:p>
    <w:p w14:paraId="5AE99640" w14:textId="6F2DD7A0"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3. B</w:t>
      </w:r>
      <w:proofErr w:type="spellStart"/>
      <w:r w:rsidRPr="00967C53">
        <w:rPr>
          <w:rFonts w:ascii="Times New Roman" w:hAnsi="Times New Roman" w:cs="Times New Roman"/>
          <w:sz w:val="28"/>
          <w:szCs w:val="28"/>
          <w:lang w:val="uk-UA"/>
        </w:rPr>
        <w:t>alanced</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Scorecard</w:t>
      </w:r>
      <w:proofErr w:type="spellEnd"/>
      <w:r w:rsidRPr="00967C53">
        <w:rPr>
          <w:rFonts w:ascii="Times New Roman" w:hAnsi="Times New Roman" w:cs="Times New Roman"/>
          <w:sz w:val="28"/>
          <w:szCs w:val="28"/>
          <w:lang w:val="uk-UA"/>
        </w:rPr>
        <w:t xml:space="preserve"> (BSC) як інструмент управління результативністю</w:t>
      </w:r>
    </w:p>
    <w:p w14:paraId="05787EA9" w14:textId="58A6A679" w:rsidR="00967C53" w:rsidRPr="00967C53" w:rsidRDefault="00967C53" w:rsidP="006E7336">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BSC є більше, ніж просто набір показників; це цілісна модель стратегії, що поєднує вимірювання, комунікацію та управління.</w:t>
      </w:r>
    </w:p>
    <w:p w14:paraId="7A9FD961"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Стратегічна Карта візуалізує стратегію, демонструючи стрілками каузальні зв'язки між чотирма перспективами. Це робить корпоративне бачення надбанням усіх співробітників, сприяючи встановленню атмосфери однодумності.</w:t>
      </w:r>
      <w:r w:rsidRPr="00967C53">
        <w:rPr>
          <w:rFonts w:ascii="Times New Roman" w:hAnsi="Times New Roman" w:cs="Times New Roman"/>
          <w:sz w:val="28"/>
          <w:szCs w:val="28"/>
          <w:vertAlign w:val="superscript"/>
          <w:lang w:val="uk-UA"/>
        </w:rPr>
        <w:t>4</w:t>
      </w:r>
    </w:p>
    <w:p w14:paraId="61636316"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Сама система показників вимагає балансу між показниками результату (наприклад, Чистий прибуток) та показниками факторів діяльності (наприклад, Виробнича собівартість, Кількість рекламацій).</w:t>
      </w:r>
      <w:r w:rsidRPr="00967C53">
        <w:rPr>
          <w:rFonts w:ascii="Times New Roman" w:hAnsi="Times New Roman" w:cs="Times New Roman"/>
          <w:sz w:val="28"/>
          <w:szCs w:val="28"/>
          <w:vertAlign w:val="superscript"/>
          <w:lang w:val="uk-UA"/>
        </w:rPr>
        <w:t>3</w:t>
      </w:r>
      <w:r w:rsidRPr="00967C53">
        <w:rPr>
          <w:rFonts w:ascii="Times New Roman" w:hAnsi="Times New Roman" w:cs="Times New Roman"/>
          <w:sz w:val="28"/>
          <w:szCs w:val="28"/>
          <w:lang w:val="uk-UA"/>
        </w:rPr>
        <w:t xml:space="preserve"> Наприклад, стратегічні цілі можуть включати підвищення прибутковості та зменшення витрат, що вимірюється відповідно чистим прибутком та собівартістю.</w:t>
      </w:r>
      <w:r w:rsidRPr="00967C53">
        <w:rPr>
          <w:rFonts w:ascii="Times New Roman" w:hAnsi="Times New Roman" w:cs="Times New Roman"/>
          <w:sz w:val="28"/>
          <w:szCs w:val="28"/>
          <w:vertAlign w:val="superscript"/>
          <w:lang w:val="uk-UA"/>
        </w:rPr>
        <w:t>3</w:t>
      </w:r>
    </w:p>
    <w:p w14:paraId="09F2A5B1"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Процес </w:t>
      </w:r>
      <w:proofErr w:type="spellStart"/>
      <w:r w:rsidRPr="00967C53">
        <w:rPr>
          <w:rFonts w:ascii="Times New Roman" w:hAnsi="Times New Roman" w:cs="Times New Roman"/>
          <w:sz w:val="28"/>
          <w:szCs w:val="28"/>
          <w:lang w:val="uk-UA"/>
        </w:rPr>
        <w:t>каскадування</w:t>
      </w:r>
      <w:proofErr w:type="spellEnd"/>
      <w:r w:rsidRPr="00967C53">
        <w:rPr>
          <w:rFonts w:ascii="Times New Roman" w:hAnsi="Times New Roman" w:cs="Times New Roman"/>
          <w:sz w:val="28"/>
          <w:szCs w:val="28"/>
          <w:lang w:val="uk-UA"/>
        </w:rPr>
        <w:t xml:space="preserve"> (або </w:t>
      </w:r>
      <w:proofErr w:type="spellStart"/>
      <w:r w:rsidRPr="00967C53">
        <w:rPr>
          <w:rFonts w:ascii="Times New Roman" w:hAnsi="Times New Roman" w:cs="Times New Roman"/>
          <w:sz w:val="28"/>
          <w:szCs w:val="28"/>
          <w:lang w:val="uk-UA"/>
        </w:rPr>
        <w:t>alignment</w:t>
      </w:r>
      <w:proofErr w:type="spellEnd"/>
      <w:r w:rsidRPr="00967C53">
        <w:rPr>
          <w:rFonts w:ascii="Times New Roman" w:hAnsi="Times New Roman" w:cs="Times New Roman"/>
          <w:sz w:val="28"/>
          <w:szCs w:val="28"/>
          <w:lang w:val="uk-UA"/>
        </w:rPr>
        <w:t xml:space="preserve">) забезпечує перехід від </w:t>
      </w:r>
      <w:proofErr w:type="spellStart"/>
      <w:r w:rsidRPr="00967C53">
        <w:rPr>
          <w:rFonts w:ascii="Times New Roman" w:hAnsi="Times New Roman" w:cs="Times New Roman"/>
          <w:sz w:val="28"/>
          <w:szCs w:val="28"/>
          <w:lang w:val="uk-UA"/>
        </w:rPr>
        <w:t>загальнокорпоративних</w:t>
      </w:r>
      <w:proofErr w:type="spellEnd"/>
      <w:r w:rsidRPr="00967C53">
        <w:rPr>
          <w:rFonts w:ascii="Times New Roman" w:hAnsi="Times New Roman" w:cs="Times New Roman"/>
          <w:sz w:val="28"/>
          <w:szCs w:val="28"/>
          <w:lang w:val="uk-UA"/>
        </w:rPr>
        <w:t xml:space="preserve"> цілей до KPI відділів та індивідуальних KPI співробітників. Цей процес є критично важливим для забезпечення того, що кожен працівник розуміє свій внесок у досягнення успіху компанії.</w:t>
      </w:r>
      <w:r w:rsidRPr="00967C53">
        <w:rPr>
          <w:rFonts w:ascii="Times New Roman" w:hAnsi="Times New Roman" w:cs="Times New Roman"/>
          <w:sz w:val="28"/>
          <w:szCs w:val="28"/>
          <w:vertAlign w:val="superscript"/>
          <w:lang w:val="uk-UA"/>
        </w:rPr>
        <w:t>4</w:t>
      </w:r>
    </w:p>
    <w:p w14:paraId="3CCB3245"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lastRenderedPageBreak/>
        <w:t>Для відображення факторів KPI у карті керівників та співробітників встановлюються чіткі ліміти: 15–25 показників на рівні компанії, 10–15 на рівні відділу і лише 3–5 на рівні співробітника.</w:t>
      </w:r>
      <w:r w:rsidRPr="00967C53">
        <w:rPr>
          <w:rFonts w:ascii="Times New Roman" w:hAnsi="Times New Roman" w:cs="Times New Roman"/>
          <w:sz w:val="28"/>
          <w:szCs w:val="28"/>
          <w:vertAlign w:val="superscript"/>
          <w:lang w:val="uk-UA"/>
        </w:rPr>
        <w:t>3</w:t>
      </w:r>
      <w:r w:rsidRPr="00967C53">
        <w:rPr>
          <w:rFonts w:ascii="Times New Roman" w:hAnsi="Times New Roman" w:cs="Times New Roman"/>
          <w:sz w:val="28"/>
          <w:szCs w:val="28"/>
          <w:lang w:val="uk-UA"/>
        </w:rPr>
        <w:t xml:space="preserve"> Це жорстке обмеження підтримує оперативний фокус. Завдяки </w:t>
      </w:r>
      <w:proofErr w:type="spellStart"/>
      <w:r w:rsidRPr="00967C53">
        <w:rPr>
          <w:rFonts w:ascii="Times New Roman" w:hAnsi="Times New Roman" w:cs="Times New Roman"/>
          <w:sz w:val="28"/>
          <w:szCs w:val="28"/>
          <w:lang w:val="uk-UA"/>
        </w:rPr>
        <w:t>каскадуванню</w:t>
      </w:r>
      <w:proofErr w:type="spellEnd"/>
      <w:r w:rsidRPr="00967C53">
        <w:rPr>
          <w:rFonts w:ascii="Times New Roman" w:hAnsi="Times New Roman" w:cs="Times New Roman"/>
          <w:sz w:val="28"/>
          <w:szCs w:val="28"/>
          <w:lang w:val="uk-UA"/>
        </w:rPr>
        <w:t xml:space="preserve">, оперативні плани-графіки та кошториси </w:t>
      </w:r>
      <w:r w:rsidRPr="00967C53">
        <w:rPr>
          <w:rFonts w:ascii="Times New Roman" w:hAnsi="Times New Roman" w:cs="Times New Roman"/>
          <w:sz w:val="28"/>
          <w:szCs w:val="28"/>
          <w:vertAlign w:val="superscript"/>
          <w:lang w:val="uk-UA"/>
        </w:rPr>
        <w:t>1</w:t>
      </w:r>
      <w:r w:rsidRPr="00967C53">
        <w:rPr>
          <w:rFonts w:ascii="Times New Roman" w:hAnsi="Times New Roman" w:cs="Times New Roman"/>
          <w:sz w:val="28"/>
          <w:szCs w:val="28"/>
          <w:lang w:val="uk-UA"/>
        </w:rPr>
        <w:t xml:space="preserve"> спрямовуються на покращення тих процесів, які є стратегічно важливими.</w:t>
      </w:r>
    </w:p>
    <w:p w14:paraId="70E86B2F"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Хоча BSC є інструментом стратегічного виконання, а бюджетування — інструментом тактичного розподілу ресурсів, ці системи мають бути інтегровані. BSC інформує бюджетний процес, гарантуючи, що ресурси виділяються відповідно до стратегічних пріоритетів. Якщо, згідно зі Стратегічною Картою, ключовим драйвером є інновації, бюджет має </w:t>
      </w:r>
      <w:proofErr w:type="spellStart"/>
      <w:r w:rsidRPr="00967C53">
        <w:rPr>
          <w:rFonts w:ascii="Times New Roman" w:hAnsi="Times New Roman" w:cs="Times New Roman"/>
          <w:sz w:val="28"/>
          <w:szCs w:val="28"/>
          <w:lang w:val="uk-UA"/>
        </w:rPr>
        <w:t>пріоритетно</w:t>
      </w:r>
      <w:proofErr w:type="spellEnd"/>
      <w:r w:rsidRPr="00967C53">
        <w:rPr>
          <w:rFonts w:ascii="Times New Roman" w:hAnsi="Times New Roman" w:cs="Times New Roman"/>
          <w:sz w:val="28"/>
          <w:szCs w:val="28"/>
          <w:lang w:val="uk-UA"/>
        </w:rPr>
        <w:t xml:space="preserve"> фінансувати НДДКР, який є однією з крупних виробничо-господарських функцій.</w:t>
      </w:r>
      <w:r w:rsidRPr="00967C53">
        <w:rPr>
          <w:rFonts w:ascii="Times New Roman" w:hAnsi="Times New Roman" w:cs="Times New Roman"/>
          <w:sz w:val="28"/>
          <w:szCs w:val="28"/>
          <w:vertAlign w:val="superscript"/>
          <w:lang w:val="uk-UA"/>
        </w:rPr>
        <w:t>2</w:t>
      </w:r>
    </w:p>
    <w:p w14:paraId="1F64DDC4"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Встановлюючи чіткі цільові значення (наприклад, збільшити прибутковість на 20% або зменшити собівартість на 3% без втрати якості) </w:t>
      </w:r>
      <w:r w:rsidRPr="00967C53">
        <w:rPr>
          <w:rFonts w:ascii="Times New Roman" w:hAnsi="Times New Roman" w:cs="Times New Roman"/>
          <w:sz w:val="28"/>
          <w:szCs w:val="28"/>
          <w:vertAlign w:val="superscript"/>
          <w:lang w:val="uk-UA"/>
        </w:rPr>
        <w:t>3</w:t>
      </w:r>
      <w:r w:rsidRPr="00967C53">
        <w:rPr>
          <w:rFonts w:ascii="Times New Roman" w:hAnsi="Times New Roman" w:cs="Times New Roman"/>
          <w:sz w:val="28"/>
          <w:szCs w:val="28"/>
          <w:lang w:val="uk-UA"/>
        </w:rPr>
        <w:t xml:space="preserve">, BSC ефективно керує стратегічною енергією організації. У середовищі, де ресурси обмежені, система допомагає уникнути інвестицій у процеси, які не мають прямого причинно-наслідкового зв'язку з кінцевим фінансовим результатом. Це підвищує ефективність використання ресурсів, розподілених на тактичному рівні. Крім того, визначення 3–5 сфокусованих KPI на рівні співробітника </w:t>
      </w:r>
      <w:r w:rsidRPr="00967C53">
        <w:rPr>
          <w:rFonts w:ascii="Times New Roman" w:hAnsi="Times New Roman" w:cs="Times New Roman"/>
          <w:sz w:val="28"/>
          <w:szCs w:val="28"/>
          <w:vertAlign w:val="superscript"/>
          <w:lang w:val="uk-UA"/>
        </w:rPr>
        <w:t>3</w:t>
      </w:r>
      <w:r w:rsidRPr="00967C53">
        <w:rPr>
          <w:rFonts w:ascii="Times New Roman" w:hAnsi="Times New Roman" w:cs="Times New Roman"/>
          <w:sz w:val="28"/>
          <w:szCs w:val="28"/>
          <w:lang w:val="uk-UA"/>
        </w:rPr>
        <w:t xml:space="preserve"> слугує потужним інструментом комунікації, що мінімізує неоднозначність (</w:t>
      </w:r>
      <w:proofErr w:type="spellStart"/>
      <w:r w:rsidRPr="00967C53">
        <w:rPr>
          <w:rFonts w:ascii="Times New Roman" w:hAnsi="Times New Roman" w:cs="Times New Roman"/>
          <w:sz w:val="28"/>
          <w:szCs w:val="28"/>
          <w:lang w:val="uk-UA"/>
        </w:rPr>
        <w:t>Ambiguity</w:t>
      </w:r>
      <w:proofErr w:type="spellEnd"/>
      <w:r w:rsidRPr="00967C53">
        <w:rPr>
          <w:rFonts w:ascii="Times New Roman" w:hAnsi="Times New Roman" w:cs="Times New Roman"/>
          <w:sz w:val="28"/>
          <w:szCs w:val="28"/>
          <w:lang w:val="uk-UA"/>
        </w:rPr>
        <w:t>).</w:t>
      </w:r>
    </w:p>
    <w:p w14:paraId="7B9C6D0F" w14:textId="0C4D5DE1" w:rsidR="00967C53" w:rsidRPr="00967C53" w:rsidRDefault="00967C53" w:rsidP="000D5701">
      <w:pPr>
        <w:spacing w:after="0" w:line="360" w:lineRule="auto"/>
        <w:ind w:firstLine="810"/>
        <w:jc w:val="both"/>
        <w:rPr>
          <w:rFonts w:ascii="Times New Roman" w:hAnsi="Times New Roman" w:cs="Times New Roman"/>
          <w:sz w:val="28"/>
          <w:szCs w:val="28"/>
          <w:lang w:val="uk-UA"/>
        </w:rPr>
      </w:pPr>
    </w:p>
    <w:p w14:paraId="3B10D5E1"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4. Роль ланцюжка цінності у плануванні та вдосконаленні процесів</w:t>
      </w:r>
    </w:p>
    <w:p w14:paraId="0AE9F4BF" w14:textId="77777777" w:rsidR="006E7336" w:rsidRDefault="006E7336" w:rsidP="000D5701">
      <w:pPr>
        <w:spacing w:after="0" w:line="360" w:lineRule="auto"/>
        <w:ind w:firstLine="810"/>
        <w:jc w:val="both"/>
        <w:rPr>
          <w:rFonts w:ascii="Times New Roman" w:hAnsi="Times New Roman" w:cs="Times New Roman"/>
          <w:sz w:val="28"/>
          <w:szCs w:val="28"/>
          <w:lang w:val="uk-UA"/>
        </w:rPr>
      </w:pPr>
    </w:p>
    <w:p w14:paraId="0FE9F547" w14:textId="0F174620"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Модель Ланцюжка Цінності Портера (</w:t>
      </w:r>
      <w:proofErr w:type="spellStart"/>
      <w:r w:rsidRPr="00967C53">
        <w:rPr>
          <w:rFonts w:ascii="Times New Roman" w:hAnsi="Times New Roman" w:cs="Times New Roman"/>
          <w:sz w:val="28"/>
          <w:szCs w:val="28"/>
          <w:lang w:val="uk-UA"/>
        </w:rPr>
        <w:t>Value</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Chain</w:t>
      </w:r>
      <w:proofErr w:type="spellEnd"/>
      <w:r w:rsidRPr="00967C53">
        <w:rPr>
          <w:rFonts w:ascii="Times New Roman" w:hAnsi="Times New Roman" w:cs="Times New Roman"/>
          <w:sz w:val="28"/>
          <w:szCs w:val="28"/>
          <w:lang w:val="uk-UA"/>
        </w:rPr>
        <w:t>) є необхідною для структурної декомпозиції діяльності організації, що дозволяє деталізувати Перспективу Внутрішніх Бізнес-Процесів у BSC.</w:t>
      </w:r>
    </w:p>
    <w:p w14:paraId="6EEE2B23" w14:textId="74001922"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Ланцюжок цінності структурує організацію на дві категорії видів діяльності:</w:t>
      </w:r>
    </w:p>
    <w:p w14:paraId="41F9DFCA" w14:textId="77777777" w:rsidR="00967C53" w:rsidRPr="00967C53" w:rsidRDefault="00967C53" w:rsidP="000D5701">
      <w:pPr>
        <w:numPr>
          <w:ilvl w:val="0"/>
          <w:numId w:val="2"/>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Первинні процеси: Безпосередньо пов'язані зі створенням продукту, його просуванням, продажем та обслуговуванням (наприклад, вхідна логістика, </w:t>
      </w:r>
      <w:r w:rsidRPr="00967C53">
        <w:rPr>
          <w:rFonts w:ascii="Times New Roman" w:hAnsi="Times New Roman" w:cs="Times New Roman"/>
          <w:sz w:val="28"/>
          <w:szCs w:val="28"/>
          <w:lang w:val="uk-UA"/>
        </w:rPr>
        <w:lastRenderedPageBreak/>
        <w:t>виробництво, маркетинг). Вони безпосередньо впливають на клієнта та фінансовий результат.</w:t>
      </w:r>
    </w:p>
    <w:p w14:paraId="2A0B2ED0" w14:textId="77777777" w:rsidR="00967C53" w:rsidRPr="00967C53" w:rsidRDefault="00967C53" w:rsidP="000D5701">
      <w:pPr>
        <w:numPr>
          <w:ilvl w:val="0"/>
          <w:numId w:val="2"/>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Допоміжні (Підтримуючі) процеси: Забезпечують функціонування первинних процесів (наприклад, управління персоналом, закупівлі, НДДКР). Вони є основою для Перспективи "Персонал" та внутрішньої інфраструктури в BSC.</w:t>
      </w:r>
    </w:p>
    <w:p w14:paraId="1492FE43"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Ланцюжок цінності є структурним каркасом, який допомагає ідентифікувати, які саме внутрішні бізнес-процеси є стратегічно важливими. Якщо стратегія вимагає лідерства за витратами, </w:t>
      </w:r>
      <w:proofErr w:type="spellStart"/>
      <w:r w:rsidRPr="00967C53">
        <w:rPr>
          <w:rFonts w:ascii="Times New Roman" w:hAnsi="Times New Roman" w:cs="Times New Roman"/>
          <w:sz w:val="28"/>
          <w:szCs w:val="28"/>
          <w:lang w:val="uk-UA"/>
        </w:rPr>
        <w:t>Value</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Chain</w:t>
      </w:r>
      <w:proofErr w:type="spellEnd"/>
      <w:r w:rsidRPr="00967C53">
        <w:rPr>
          <w:rFonts w:ascii="Times New Roman" w:hAnsi="Times New Roman" w:cs="Times New Roman"/>
          <w:sz w:val="28"/>
          <w:szCs w:val="28"/>
          <w:lang w:val="uk-UA"/>
        </w:rPr>
        <w:t xml:space="preserve"> вказує, що необхідно планувати найбільше скорочення витрат у первинних процесах, таких як виробництво. Якщо ж стратегія орієнтована на диференціацію, акцент планування зміщується на допоміжні процеси (НДДКР) та маркетинг.</w:t>
      </w:r>
      <w:r w:rsidRPr="00967C53">
        <w:rPr>
          <w:rFonts w:ascii="Times New Roman" w:hAnsi="Times New Roman" w:cs="Times New Roman"/>
          <w:sz w:val="28"/>
          <w:szCs w:val="28"/>
          <w:vertAlign w:val="superscript"/>
          <w:lang w:val="uk-UA"/>
        </w:rPr>
        <w:t>2</w:t>
      </w:r>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Value</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Chain</w:t>
      </w:r>
      <w:proofErr w:type="spellEnd"/>
      <w:r w:rsidRPr="00967C53">
        <w:rPr>
          <w:rFonts w:ascii="Times New Roman" w:hAnsi="Times New Roman" w:cs="Times New Roman"/>
          <w:sz w:val="28"/>
          <w:szCs w:val="28"/>
          <w:lang w:val="uk-UA"/>
        </w:rPr>
        <w:t xml:space="preserve"> виступає як тактичне доповнення до BSC, надаючи детальну процесну мапу.</w:t>
      </w:r>
    </w:p>
    <w:p w14:paraId="035D843A"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Вирішальне значення для конкурентоспроможності мають внутрішні зв'язки (</w:t>
      </w:r>
      <w:proofErr w:type="spellStart"/>
      <w:r w:rsidRPr="00967C53">
        <w:rPr>
          <w:rFonts w:ascii="Times New Roman" w:hAnsi="Times New Roman" w:cs="Times New Roman"/>
          <w:sz w:val="28"/>
          <w:szCs w:val="28"/>
          <w:lang w:val="uk-UA"/>
        </w:rPr>
        <w:t>internal</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linkages</w:t>
      </w:r>
      <w:proofErr w:type="spellEnd"/>
      <w:r w:rsidRPr="00967C53">
        <w:rPr>
          <w:rFonts w:ascii="Times New Roman" w:hAnsi="Times New Roman" w:cs="Times New Roman"/>
          <w:sz w:val="28"/>
          <w:szCs w:val="28"/>
          <w:lang w:val="uk-UA"/>
        </w:rPr>
        <w:t>) між видами діяльності. Чим сильніші ці зв’язки, тим вища конкурентоспроможність організації та вищі маржі.</w:t>
      </w:r>
      <w:r w:rsidRPr="00967C53">
        <w:rPr>
          <w:rFonts w:ascii="Times New Roman" w:hAnsi="Times New Roman" w:cs="Times New Roman"/>
          <w:sz w:val="28"/>
          <w:szCs w:val="28"/>
          <w:vertAlign w:val="superscript"/>
          <w:lang w:val="uk-UA"/>
        </w:rPr>
        <w:t>7</w:t>
      </w:r>
      <w:r w:rsidRPr="00967C53">
        <w:rPr>
          <w:rFonts w:ascii="Times New Roman" w:hAnsi="Times New Roman" w:cs="Times New Roman"/>
          <w:sz w:val="28"/>
          <w:szCs w:val="28"/>
          <w:lang w:val="uk-UA"/>
        </w:rPr>
        <w:t xml:space="preserve"> Планування вдосконалення процесів фокусується на усуненні джерел неефективності, які часто виникають через слабкі зв'язки, що призводять до розбіжностей (</w:t>
      </w:r>
      <w:proofErr w:type="spellStart"/>
      <w:r w:rsidRPr="00967C53">
        <w:rPr>
          <w:rFonts w:ascii="Times New Roman" w:hAnsi="Times New Roman" w:cs="Times New Roman"/>
          <w:sz w:val="28"/>
          <w:szCs w:val="28"/>
          <w:lang w:val="uk-UA"/>
        </w:rPr>
        <w:t>miss</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alignments</w:t>
      </w:r>
      <w:proofErr w:type="spellEnd"/>
      <w:r w:rsidRPr="00967C53">
        <w:rPr>
          <w:rFonts w:ascii="Times New Roman" w:hAnsi="Times New Roman" w:cs="Times New Roman"/>
          <w:sz w:val="28"/>
          <w:szCs w:val="28"/>
          <w:lang w:val="uk-UA"/>
        </w:rPr>
        <w:t>), подвійної роботи (</w:t>
      </w:r>
      <w:proofErr w:type="spellStart"/>
      <w:r w:rsidRPr="00967C53">
        <w:rPr>
          <w:rFonts w:ascii="Times New Roman" w:hAnsi="Times New Roman" w:cs="Times New Roman"/>
          <w:sz w:val="28"/>
          <w:szCs w:val="28"/>
          <w:lang w:val="uk-UA"/>
        </w:rPr>
        <w:t>double</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work</w:t>
      </w:r>
      <w:proofErr w:type="spellEnd"/>
      <w:r w:rsidRPr="00967C53">
        <w:rPr>
          <w:rFonts w:ascii="Times New Roman" w:hAnsi="Times New Roman" w:cs="Times New Roman"/>
          <w:sz w:val="28"/>
          <w:szCs w:val="28"/>
          <w:lang w:val="uk-UA"/>
        </w:rPr>
        <w:t>) та збільшення витрат (</w:t>
      </w:r>
      <w:proofErr w:type="spellStart"/>
      <w:r w:rsidRPr="00967C53">
        <w:rPr>
          <w:rFonts w:ascii="Times New Roman" w:hAnsi="Times New Roman" w:cs="Times New Roman"/>
          <w:sz w:val="28"/>
          <w:szCs w:val="28"/>
          <w:lang w:val="uk-UA"/>
        </w:rPr>
        <w:t>increase</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cost</w:t>
      </w:r>
      <w:proofErr w:type="spellEnd"/>
      <w:r w:rsidRPr="00967C53">
        <w:rPr>
          <w:rFonts w:ascii="Times New Roman" w:hAnsi="Times New Roman" w:cs="Times New Roman"/>
          <w:sz w:val="28"/>
          <w:szCs w:val="28"/>
          <w:lang w:val="uk-UA"/>
        </w:rPr>
        <w:t>).</w:t>
      </w:r>
      <w:r w:rsidRPr="00967C53">
        <w:rPr>
          <w:rFonts w:ascii="Times New Roman" w:hAnsi="Times New Roman" w:cs="Times New Roman"/>
          <w:sz w:val="28"/>
          <w:szCs w:val="28"/>
          <w:vertAlign w:val="superscript"/>
          <w:lang w:val="uk-UA"/>
        </w:rPr>
        <w:t>7</w:t>
      </w:r>
    </w:p>
    <w:p w14:paraId="35A6680F"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Стратегічне планування структури ланцюга цінності також включає постійний аналіз доцільності </w:t>
      </w:r>
      <w:proofErr w:type="spellStart"/>
      <w:r w:rsidRPr="00967C53">
        <w:rPr>
          <w:rFonts w:ascii="Times New Roman" w:hAnsi="Times New Roman" w:cs="Times New Roman"/>
          <w:sz w:val="28"/>
          <w:szCs w:val="28"/>
          <w:lang w:val="uk-UA"/>
        </w:rPr>
        <w:t>аутсорсингових</w:t>
      </w:r>
      <w:proofErr w:type="spellEnd"/>
      <w:r w:rsidRPr="00967C53">
        <w:rPr>
          <w:rFonts w:ascii="Times New Roman" w:hAnsi="Times New Roman" w:cs="Times New Roman"/>
          <w:sz w:val="28"/>
          <w:szCs w:val="28"/>
          <w:lang w:val="uk-UA"/>
        </w:rPr>
        <w:t xml:space="preserve"> чи </w:t>
      </w:r>
      <w:proofErr w:type="spellStart"/>
      <w:r w:rsidRPr="00967C53">
        <w:rPr>
          <w:rFonts w:ascii="Times New Roman" w:hAnsi="Times New Roman" w:cs="Times New Roman"/>
          <w:sz w:val="28"/>
          <w:szCs w:val="28"/>
          <w:lang w:val="uk-UA"/>
        </w:rPr>
        <w:t>інсорсингових</w:t>
      </w:r>
      <w:proofErr w:type="spellEnd"/>
      <w:r w:rsidRPr="00967C53">
        <w:rPr>
          <w:rFonts w:ascii="Times New Roman" w:hAnsi="Times New Roman" w:cs="Times New Roman"/>
          <w:sz w:val="28"/>
          <w:szCs w:val="28"/>
          <w:lang w:val="uk-UA"/>
        </w:rPr>
        <w:t xml:space="preserve"> рішень.</w:t>
      </w:r>
      <w:r w:rsidRPr="00967C53">
        <w:rPr>
          <w:rFonts w:ascii="Times New Roman" w:hAnsi="Times New Roman" w:cs="Times New Roman"/>
          <w:sz w:val="28"/>
          <w:szCs w:val="28"/>
          <w:vertAlign w:val="superscript"/>
          <w:lang w:val="uk-UA"/>
        </w:rPr>
        <w:t>6</w:t>
      </w:r>
      <w:r w:rsidRPr="00967C53">
        <w:rPr>
          <w:rFonts w:ascii="Times New Roman" w:hAnsi="Times New Roman" w:cs="Times New Roman"/>
          <w:sz w:val="28"/>
          <w:szCs w:val="28"/>
          <w:lang w:val="uk-UA"/>
        </w:rPr>
        <w:t xml:space="preserve"> При цьому в умовах VUCA (особливо з огляду на Крихкість/</w:t>
      </w:r>
      <w:proofErr w:type="spellStart"/>
      <w:r w:rsidRPr="00967C53">
        <w:rPr>
          <w:rFonts w:ascii="Times New Roman" w:hAnsi="Times New Roman" w:cs="Times New Roman"/>
          <w:sz w:val="28"/>
          <w:szCs w:val="28"/>
          <w:lang w:val="uk-UA"/>
        </w:rPr>
        <w:t>Brittle</w:t>
      </w:r>
      <w:proofErr w:type="spellEnd"/>
      <w:r w:rsidRPr="00967C53">
        <w:rPr>
          <w:rFonts w:ascii="Times New Roman" w:hAnsi="Times New Roman" w:cs="Times New Roman"/>
          <w:sz w:val="28"/>
          <w:szCs w:val="28"/>
          <w:lang w:val="uk-UA"/>
        </w:rPr>
        <w:t>), планування процесів має враховувати не лише мінімізацію витрат (ефективність), а й резервування та стійкість. Рішення про аутсорсинг, яке може підвищити ефективність, водночас може збільшити крихкість ланцюга поставок, що є неприйнятним ризиком у нелінійному середовищі.</w:t>
      </w:r>
      <w:r w:rsidRPr="00967C53">
        <w:rPr>
          <w:rFonts w:ascii="Times New Roman" w:hAnsi="Times New Roman" w:cs="Times New Roman"/>
          <w:sz w:val="28"/>
          <w:szCs w:val="28"/>
          <w:vertAlign w:val="superscript"/>
          <w:lang w:val="uk-UA"/>
        </w:rPr>
        <w:t>8</w:t>
      </w:r>
    </w:p>
    <w:p w14:paraId="4BF2C9C3" w14:textId="42D121CA" w:rsidR="00967C53" w:rsidRPr="00967C53" w:rsidRDefault="00967C53" w:rsidP="000D5701">
      <w:pPr>
        <w:spacing w:after="0" w:line="360" w:lineRule="auto"/>
        <w:ind w:firstLine="810"/>
        <w:jc w:val="both"/>
        <w:rPr>
          <w:rFonts w:ascii="Times New Roman" w:hAnsi="Times New Roman" w:cs="Times New Roman"/>
          <w:sz w:val="28"/>
          <w:szCs w:val="28"/>
          <w:lang w:val="uk-UA"/>
        </w:rPr>
      </w:pPr>
    </w:p>
    <w:p w14:paraId="3C330E2A"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5. Планування як функція управління змінами в умовах VUCA-середовища</w:t>
      </w:r>
    </w:p>
    <w:p w14:paraId="0DB33050" w14:textId="757D6525"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Сучасне бізнес-середовище характеризується терміном VUCA (</w:t>
      </w:r>
      <w:proofErr w:type="spellStart"/>
      <w:r w:rsidRPr="00967C53">
        <w:rPr>
          <w:rFonts w:ascii="Times New Roman" w:hAnsi="Times New Roman" w:cs="Times New Roman"/>
          <w:sz w:val="28"/>
          <w:szCs w:val="28"/>
          <w:lang w:val="uk-UA"/>
        </w:rPr>
        <w:t>Volatility</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Uncertainty</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Complexity</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Ambiguity</w:t>
      </w:r>
      <w:proofErr w:type="spellEnd"/>
      <w:r w:rsidRPr="00967C53">
        <w:rPr>
          <w:rFonts w:ascii="Times New Roman" w:hAnsi="Times New Roman" w:cs="Times New Roman"/>
          <w:sz w:val="28"/>
          <w:szCs w:val="28"/>
          <w:lang w:val="uk-UA"/>
        </w:rPr>
        <w:t xml:space="preserve"> – мінливість, невизначеність, складність, </w:t>
      </w:r>
      <w:r w:rsidRPr="00967C53">
        <w:rPr>
          <w:rFonts w:ascii="Times New Roman" w:hAnsi="Times New Roman" w:cs="Times New Roman"/>
          <w:sz w:val="28"/>
          <w:szCs w:val="28"/>
          <w:lang w:val="uk-UA"/>
        </w:rPr>
        <w:lastRenderedPageBreak/>
        <w:t>неоднозначність).</w:t>
      </w:r>
      <w:r w:rsidR="007120D6">
        <w:rPr>
          <w:rFonts w:ascii="Times New Roman" w:hAnsi="Times New Roman" w:cs="Times New Roman"/>
          <w:sz w:val="28"/>
          <w:szCs w:val="28"/>
          <w:vertAlign w:val="superscript"/>
          <w:lang w:val="uk-UA"/>
        </w:rPr>
        <w:t xml:space="preserve"> </w:t>
      </w:r>
      <w:r w:rsidRPr="00967C53">
        <w:rPr>
          <w:rFonts w:ascii="Times New Roman" w:hAnsi="Times New Roman" w:cs="Times New Roman"/>
          <w:sz w:val="28"/>
          <w:szCs w:val="28"/>
          <w:lang w:val="uk-UA"/>
        </w:rPr>
        <w:t>В таких умовах зміни відбуваються швидко і несподівано, що унеможливлює покладатися виключно на традиційні довгострокові стратегічні плани.</w:t>
      </w:r>
    </w:p>
    <w:p w14:paraId="773AD83F" w14:textId="48FC8DD5"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Останні кризи показали, що концепція VUCA вже не повністю охоплює нові реалії, що спричинило обґрунтований перехід до концепції BANI (</w:t>
      </w:r>
      <w:proofErr w:type="spellStart"/>
      <w:r w:rsidRPr="00967C53">
        <w:rPr>
          <w:rFonts w:ascii="Times New Roman" w:hAnsi="Times New Roman" w:cs="Times New Roman"/>
          <w:sz w:val="28"/>
          <w:szCs w:val="28"/>
          <w:lang w:val="uk-UA"/>
        </w:rPr>
        <w:t>Brittle</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Anxious</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Nonlinear</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Incomprehensible</w:t>
      </w:r>
      <w:proofErr w:type="spellEnd"/>
      <w:r w:rsidRPr="00967C53">
        <w:rPr>
          <w:rFonts w:ascii="Times New Roman" w:hAnsi="Times New Roman" w:cs="Times New Roman"/>
          <w:sz w:val="28"/>
          <w:szCs w:val="28"/>
          <w:lang w:val="uk-UA"/>
        </w:rPr>
        <w:t>).</w:t>
      </w:r>
      <w:r w:rsidR="007120D6">
        <w:rPr>
          <w:rFonts w:ascii="Times New Roman" w:hAnsi="Times New Roman" w:cs="Times New Roman"/>
          <w:sz w:val="28"/>
          <w:szCs w:val="28"/>
          <w:vertAlign w:val="superscript"/>
          <w:lang w:val="uk-UA"/>
        </w:rPr>
        <w:t xml:space="preserve"> </w:t>
      </w:r>
      <w:r w:rsidRPr="00967C53">
        <w:rPr>
          <w:rFonts w:ascii="Times New Roman" w:hAnsi="Times New Roman" w:cs="Times New Roman"/>
          <w:sz w:val="28"/>
          <w:szCs w:val="28"/>
          <w:lang w:val="uk-UA"/>
        </w:rPr>
        <w:t>Це висуває нові вимоги до планування процесів:</w:t>
      </w:r>
    </w:p>
    <w:p w14:paraId="2786CDE4" w14:textId="26274D89" w:rsidR="00967C53" w:rsidRPr="00967C53" w:rsidRDefault="00967C53" w:rsidP="000D5701">
      <w:pPr>
        <w:numPr>
          <w:ilvl w:val="0"/>
          <w:numId w:val="3"/>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Крихкість (</w:t>
      </w:r>
      <w:proofErr w:type="spellStart"/>
      <w:r w:rsidRPr="00967C53">
        <w:rPr>
          <w:rFonts w:ascii="Times New Roman" w:hAnsi="Times New Roman" w:cs="Times New Roman"/>
          <w:sz w:val="28"/>
          <w:szCs w:val="28"/>
          <w:lang w:val="uk-UA"/>
        </w:rPr>
        <w:t>Brittle</w:t>
      </w:r>
      <w:proofErr w:type="spellEnd"/>
      <w:r w:rsidRPr="00967C53">
        <w:rPr>
          <w:rFonts w:ascii="Times New Roman" w:hAnsi="Times New Roman" w:cs="Times New Roman"/>
          <w:sz w:val="28"/>
          <w:szCs w:val="28"/>
          <w:lang w:val="uk-UA"/>
        </w:rPr>
        <w:t xml:space="preserve">): Ситуації, спричинені нездатністю бізнесу швидко реагувати, можуть мати фатальні наслідки. Планування має включати розробку резервних планів та альтернативних поставок, що впливає на планування </w:t>
      </w:r>
      <w:proofErr w:type="spellStart"/>
      <w:r w:rsidRPr="00967C53">
        <w:rPr>
          <w:rFonts w:ascii="Times New Roman" w:hAnsi="Times New Roman" w:cs="Times New Roman"/>
          <w:sz w:val="28"/>
          <w:szCs w:val="28"/>
          <w:lang w:val="uk-UA"/>
        </w:rPr>
        <w:t>закупівель</w:t>
      </w:r>
      <w:proofErr w:type="spellEnd"/>
      <w:r w:rsidRPr="00967C53">
        <w:rPr>
          <w:rFonts w:ascii="Times New Roman" w:hAnsi="Times New Roman" w:cs="Times New Roman"/>
          <w:sz w:val="28"/>
          <w:szCs w:val="28"/>
          <w:lang w:val="uk-UA"/>
        </w:rPr>
        <w:t xml:space="preserve"> та </w:t>
      </w:r>
      <w:proofErr w:type="spellStart"/>
      <w:r w:rsidRPr="00967C53">
        <w:rPr>
          <w:rFonts w:ascii="Times New Roman" w:hAnsi="Times New Roman" w:cs="Times New Roman"/>
          <w:sz w:val="28"/>
          <w:szCs w:val="28"/>
          <w:lang w:val="uk-UA"/>
        </w:rPr>
        <w:t>Value</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Chain</w:t>
      </w:r>
      <w:proofErr w:type="spellEnd"/>
      <w:r w:rsidRPr="00967C53">
        <w:rPr>
          <w:rFonts w:ascii="Times New Roman" w:hAnsi="Times New Roman" w:cs="Times New Roman"/>
          <w:sz w:val="28"/>
          <w:szCs w:val="28"/>
          <w:lang w:val="uk-UA"/>
        </w:rPr>
        <w:t>.</w:t>
      </w:r>
    </w:p>
    <w:p w14:paraId="799577F8" w14:textId="77777777" w:rsidR="00967C53" w:rsidRPr="00967C53" w:rsidRDefault="00967C53" w:rsidP="000D5701">
      <w:pPr>
        <w:numPr>
          <w:ilvl w:val="0"/>
          <w:numId w:val="3"/>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Занепокоєння (</w:t>
      </w:r>
      <w:proofErr w:type="spellStart"/>
      <w:r w:rsidRPr="00967C53">
        <w:rPr>
          <w:rFonts w:ascii="Times New Roman" w:hAnsi="Times New Roman" w:cs="Times New Roman"/>
          <w:sz w:val="28"/>
          <w:szCs w:val="28"/>
          <w:lang w:val="uk-UA"/>
        </w:rPr>
        <w:t>Anxious</w:t>
      </w:r>
      <w:proofErr w:type="spellEnd"/>
      <w:r w:rsidRPr="00967C53">
        <w:rPr>
          <w:rFonts w:ascii="Times New Roman" w:hAnsi="Times New Roman" w:cs="Times New Roman"/>
          <w:sz w:val="28"/>
          <w:szCs w:val="28"/>
          <w:lang w:val="uk-UA"/>
        </w:rPr>
        <w:t>): Постійний потік негативної інформації підвищує рівень стресу. Планування має включати заходи з формування позитивного клімату та відкритих комунікацій, впливаючи на Перспективу "Персонал" у BSC.</w:t>
      </w:r>
      <w:r w:rsidRPr="00967C53">
        <w:rPr>
          <w:rFonts w:ascii="Times New Roman" w:hAnsi="Times New Roman" w:cs="Times New Roman"/>
          <w:sz w:val="28"/>
          <w:szCs w:val="28"/>
          <w:vertAlign w:val="superscript"/>
          <w:lang w:val="uk-UA"/>
        </w:rPr>
        <w:t>8</w:t>
      </w:r>
    </w:p>
    <w:p w14:paraId="06A90799" w14:textId="68E26E62"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В умовах VUCA-світу менеджери повинні швидко адаптуватися і розробляти нові стратегії. Планування процесів має бути гнучким (</w:t>
      </w:r>
      <w:proofErr w:type="spellStart"/>
      <w:r w:rsidRPr="00967C53">
        <w:rPr>
          <w:rFonts w:ascii="Times New Roman" w:hAnsi="Times New Roman" w:cs="Times New Roman"/>
          <w:sz w:val="28"/>
          <w:szCs w:val="28"/>
          <w:lang w:val="uk-UA"/>
        </w:rPr>
        <w:t>Agile</w:t>
      </w:r>
      <w:proofErr w:type="spellEnd"/>
      <w:r w:rsidRPr="00967C53">
        <w:rPr>
          <w:rFonts w:ascii="Times New Roman" w:hAnsi="Times New Roman" w:cs="Times New Roman"/>
          <w:sz w:val="28"/>
          <w:szCs w:val="28"/>
          <w:lang w:val="uk-UA"/>
        </w:rPr>
        <w:t>), а не суворо каскадним.</w:t>
      </w:r>
    </w:p>
    <w:p w14:paraId="1D953859"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Ключові стратегії адаптивного планування:</w:t>
      </w:r>
    </w:p>
    <w:p w14:paraId="009F77EA" w14:textId="77777777" w:rsidR="00967C53" w:rsidRPr="00967C53" w:rsidRDefault="00967C53" w:rsidP="000D5701">
      <w:pPr>
        <w:numPr>
          <w:ilvl w:val="0"/>
          <w:numId w:val="4"/>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Протидія Незбагненному (</w:t>
      </w:r>
      <w:proofErr w:type="spellStart"/>
      <w:r w:rsidRPr="00967C53">
        <w:rPr>
          <w:rFonts w:ascii="Times New Roman" w:hAnsi="Times New Roman" w:cs="Times New Roman"/>
          <w:sz w:val="28"/>
          <w:szCs w:val="28"/>
          <w:lang w:val="uk-UA"/>
        </w:rPr>
        <w:t>Incomprehensible</w:t>
      </w:r>
      <w:proofErr w:type="spellEnd"/>
      <w:r w:rsidRPr="00967C53">
        <w:rPr>
          <w:rFonts w:ascii="Times New Roman" w:hAnsi="Times New Roman" w:cs="Times New Roman"/>
          <w:sz w:val="28"/>
          <w:szCs w:val="28"/>
          <w:lang w:val="uk-UA"/>
        </w:rPr>
        <w:t>) через технології: Невизначеність вимагає високої швидкості та точності управління. Стратегічною відповіддю є інтеграція нових технологій, таких як штучний інтелект та автоматизація.</w:t>
      </w:r>
      <w:r w:rsidRPr="00967C53">
        <w:rPr>
          <w:rFonts w:ascii="Times New Roman" w:hAnsi="Times New Roman" w:cs="Times New Roman"/>
          <w:sz w:val="28"/>
          <w:szCs w:val="28"/>
          <w:vertAlign w:val="superscript"/>
          <w:lang w:val="uk-UA"/>
        </w:rPr>
        <w:t>9</w:t>
      </w:r>
      <w:r w:rsidRPr="00967C53">
        <w:rPr>
          <w:rFonts w:ascii="Times New Roman" w:hAnsi="Times New Roman" w:cs="Times New Roman"/>
          <w:sz w:val="28"/>
          <w:szCs w:val="28"/>
          <w:lang w:val="uk-UA"/>
        </w:rPr>
        <w:t xml:space="preserve"> Планування бізнес-процесів повинно бути орієнтоване на цифрову трансформацію як пріоритет для підвищення швидкості аналізу складних даних.</w:t>
      </w:r>
      <w:r w:rsidRPr="00967C53">
        <w:rPr>
          <w:rFonts w:ascii="Times New Roman" w:hAnsi="Times New Roman" w:cs="Times New Roman"/>
          <w:sz w:val="28"/>
          <w:szCs w:val="28"/>
          <w:vertAlign w:val="superscript"/>
          <w:lang w:val="uk-UA"/>
        </w:rPr>
        <w:t>8</w:t>
      </w:r>
    </w:p>
    <w:p w14:paraId="00C80DB9" w14:textId="77777777" w:rsidR="00967C53" w:rsidRPr="00967C53" w:rsidRDefault="00967C53" w:rsidP="000D5701">
      <w:pPr>
        <w:numPr>
          <w:ilvl w:val="0"/>
          <w:numId w:val="4"/>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Управління Нелінійністю (</w:t>
      </w:r>
      <w:proofErr w:type="spellStart"/>
      <w:r w:rsidRPr="00967C53">
        <w:rPr>
          <w:rFonts w:ascii="Times New Roman" w:hAnsi="Times New Roman" w:cs="Times New Roman"/>
          <w:sz w:val="28"/>
          <w:szCs w:val="28"/>
          <w:lang w:val="uk-UA"/>
        </w:rPr>
        <w:t>Nonlinear</w:t>
      </w:r>
      <w:proofErr w:type="spellEnd"/>
      <w:r w:rsidRPr="00967C53">
        <w:rPr>
          <w:rFonts w:ascii="Times New Roman" w:hAnsi="Times New Roman" w:cs="Times New Roman"/>
          <w:sz w:val="28"/>
          <w:szCs w:val="28"/>
          <w:lang w:val="uk-UA"/>
        </w:rPr>
        <w:t xml:space="preserve">): Несподіванки щодо поведінки ринків та постачальників </w:t>
      </w:r>
      <w:r w:rsidRPr="00967C53">
        <w:rPr>
          <w:rFonts w:ascii="Times New Roman" w:hAnsi="Times New Roman" w:cs="Times New Roman"/>
          <w:sz w:val="28"/>
          <w:szCs w:val="28"/>
          <w:vertAlign w:val="superscript"/>
          <w:lang w:val="uk-UA"/>
        </w:rPr>
        <w:t>8</w:t>
      </w:r>
      <w:r w:rsidRPr="00967C53">
        <w:rPr>
          <w:rFonts w:ascii="Times New Roman" w:hAnsi="Times New Roman" w:cs="Times New Roman"/>
          <w:sz w:val="28"/>
          <w:szCs w:val="28"/>
          <w:lang w:val="uk-UA"/>
        </w:rPr>
        <w:t xml:space="preserve"> вимагають сценарного планування замість єдиного прогнозу. Планування має передбачати вивчення та швидку адаптацію до змінних ринків.</w:t>
      </w:r>
      <w:r w:rsidRPr="00967C53">
        <w:rPr>
          <w:rFonts w:ascii="Times New Roman" w:hAnsi="Times New Roman" w:cs="Times New Roman"/>
          <w:sz w:val="28"/>
          <w:szCs w:val="28"/>
          <w:vertAlign w:val="superscript"/>
          <w:lang w:val="uk-UA"/>
        </w:rPr>
        <w:t>8</w:t>
      </w:r>
    </w:p>
    <w:p w14:paraId="15C33127" w14:textId="77777777" w:rsidR="00967C53" w:rsidRPr="00967C53" w:rsidRDefault="00967C53" w:rsidP="000D5701">
      <w:pPr>
        <w:numPr>
          <w:ilvl w:val="0"/>
          <w:numId w:val="4"/>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Розвиток компетенцій та стійкість: Планування має включати інвестиції в розвиток ключових компетенцій менеджерів </w:t>
      </w:r>
      <w:r w:rsidRPr="00967C53">
        <w:rPr>
          <w:rFonts w:ascii="Times New Roman" w:hAnsi="Times New Roman" w:cs="Times New Roman"/>
          <w:sz w:val="28"/>
          <w:szCs w:val="28"/>
          <w:vertAlign w:val="superscript"/>
          <w:lang w:val="uk-UA"/>
        </w:rPr>
        <w:t>9</w:t>
      </w:r>
      <w:r w:rsidRPr="00967C53">
        <w:rPr>
          <w:rFonts w:ascii="Times New Roman" w:hAnsi="Times New Roman" w:cs="Times New Roman"/>
          <w:sz w:val="28"/>
          <w:szCs w:val="28"/>
          <w:lang w:val="uk-UA"/>
        </w:rPr>
        <w:t xml:space="preserve"> та управління стійкістю.</w:t>
      </w:r>
      <w:r w:rsidRPr="00967C53">
        <w:rPr>
          <w:rFonts w:ascii="Times New Roman" w:hAnsi="Times New Roman" w:cs="Times New Roman"/>
          <w:sz w:val="28"/>
          <w:szCs w:val="28"/>
          <w:vertAlign w:val="superscript"/>
          <w:lang w:val="uk-UA"/>
        </w:rPr>
        <w:t>5</w:t>
      </w:r>
      <w:r w:rsidRPr="00967C53">
        <w:rPr>
          <w:rFonts w:ascii="Times New Roman" w:hAnsi="Times New Roman" w:cs="Times New Roman"/>
          <w:sz w:val="28"/>
          <w:szCs w:val="28"/>
          <w:lang w:val="uk-UA"/>
        </w:rPr>
        <w:t xml:space="preserve"> Фокус </w:t>
      </w:r>
      <w:r w:rsidRPr="00967C53">
        <w:rPr>
          <w:rFonts w:ascii="Times New Roman" w:hAnsi="Times New Roman" w:cs="Times New Roman"/>
          <w:sz w:val="28"/>
          <w:szCs w:val="28"/>
          <w:lang w:val="uk-UA"/>
        </w:rPr>
        <w:lastRenderedPageBreak/>
        <w:t>стратегічного планування зміщується від довгострокового прогнозування до створення платформи стійкості та здатності до швидкого організаційного навчання (через перевірку гіпотез BSC).</w:t>
      </w:r>
    </w:p>
    <w:p w14:paraId="7C4153F4"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Адаптація до BANI вимагає двокомпонентного планування стійкості: технічних рішень (резервні плани, аналітика) та гуманістичних/організаційних рішень (управління занепокоєнням). Це означає, що тактичне бюджетування має виділяти кошти не лише на інфраструктуру, але й на нематеріальні активи, такі як психологічна стійкість та навчання персоналу, оскільки </w:t>
      </w:r>
      <w:proofErr w:type="spellStart"/>
      <w:r w:rsidRPr="00967C53">
        <w:rPr>
          <w:rFonts w:ascii="Times New Roman" w:hAnsi="Times New Roman" w:cs="Times New Roman"/>
          <w:sz w:val="28"/>
          <w:szCs w:val="28"/>
          <w:lang w:val="uk-UA"/>
        </w:rPr>
        <w:t>демотивований</w:t>
      </w:r>
      <w:proofErr w:type="spellEnd"/>
      <w:r w:rsidRPr="00967C53">
        <w:rPr>
          <w:rFonts w:ascii="Times New Roman" w:hAnsi="Times New Roman" w:cs="Times New Roman"/>
          <w:sz w:val="28"/>
          <w:szCs w:val="28"/>
          <w:lang w:val="uk-UA"/>
        </w:rPr>
        <w:t xml:space="preserve"> персонал не зможе ефективно виконувати навіть найкраще сплановані процеси.</w:t>
      </w:r>
    </w:p>
    <w:p w14:paraId="713EC4B1" w14:textId="6FF9ECA1" w:rsidR="00967C53" w:rsidRPr="00967C53" w:rsidRDefault="00DD044F"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стратегічні відповіді на виклики VUCA-BANI</w:t>
      </w:r>
    </w:p>
    <w:tbl>
      <w:tblPr>
        <w:tblStyle w:val="TableGrid"/>
        <w:tblW w:w="0" w:type="auto"/>
        <w:tblLook w:val="04A0" w:firstRow="1" w:lastRow="0" w:firstColumn="1" w:lastColumn="0" w:noHBand="0" w:noVBand="1"/>
      </w:tblPr>
      <w:tblGrid>
        <w:gridCol w:w="1937"/>
        <w:gridCol w:w="2485"/>
        <w:gridCol w:w="2228"/>
        <w:gridCol w:w="3313"/>
      </w:tblGrid>
      <w:tr w:rsidR="00DD044F" w:rsidRPr="00967C53" w14:paraId="1DFE2DB0" w14:textId="77777777" w:rsidTr="00DD044F">
        <w:tc>
          <w:tcPr>
            <w:tcW w:w="0" w:type="auto"/>
            <w:hideMark/>
          </w:tcPr>
          <w:p w14:paraId="100CA514"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Виклик (VUCA)</w:t>
            </w:r>
          </w:p>
        </w:tc>
        <w:tc>
          <w:tcPr>
            <w:tcW w:w="0" w:type="auto"/>
            <w:hideMark/>
          </w:tcPr>
          <w:p w14:paraId="50259D99"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Сучасна Інтерпретація (BANI)</w:t>
            </w:r>
          </w:p>
        </w:tc>
        <w:tc>
          <w:tcPr>
            <w:tcW w:w="0" w:type="auto"/>
            <w:hideMark/>
          </w:tcPr>
          <w:p w14:paraId="4E1BCC4D"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Управлінська Стратегія</w:t>
            </w:r>
          </w:p>
        </w:tc>
        <w:tc>
          <w:tcPr>
            <w:tcW w:w="0" w:type="auto"/>
            <w:hideMark/>
          </w:tcPr>
          <w:p w14:paraId="1B797806"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Конкретні Інструменти Планування Процесів</w:t>
            </w:r>
          </w:p>
        </w:tc>
      </w:tr>
      <w:tr w:rsidR="00DD044F" w:rsidRPr="00967C53" w14:paraId="392B737F" w14:textId="77777777" w:rsidTr="00DD044F">
        <w:tc>
          <w:tcPr>
            <w:tcW w:w="0" w:type="auto"/>
            <w:hideMark/>
          </w:tcPr>
          <w:p w14:paraId="3B2B728F" w14:textId="77777777" w:rsidR="00967C53" w:rsidRPr="00967C53" w:rsidRDefault="00967C53" w:rsidP="00DD044F">
            <w:pPr>
              <w:jc w:val="both"/>
              <w:rPr>
                <w:rFonts w:ascii="Times New Roman" w:hAnsi="Times New Roman" w:cs="Times New Roman"/>
                <w:lang w:val="uk-UA"/>
              </w:rPr>
            </w:pPr>
            <w:proofErr w:type="spellStart"/>
            <w:r w:rsidRPr="00967C53">
              <w:rPr>
                <w:rFonts w:ascii="Times New Roman" w:hAnsi="Times New Roman" w:cs="Times New Roman"/>
                <w:lang w:val="uk-UA"/>
              </w:rPr>
              <w:t>Волатильність</w:t>
            </w:r>
            <w:proofErr w:type="spellEnd"/>
          </w:p>
        </w:tc>
        <w:tc>
          <w:tcPr>
            <w:tcW w:w="0" w:type="auto"/>
            <w:hideMark/>
          </w:tcPr>
          <w:p w14:paraId="0CD6A594"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Крихкість (</w:t>
            </w:r>
            <w:proofErr w:type="spellStart"/>
            <w:r w:rsidRPr="00967C53">
              <w:rPr>
                <w:rFonts w:ascii="Times New Roman" w:hAnsi="Times New Roman" w:cs="Times New Roman"/>
                <w:lang w:val="uk-UA"/>
              </w:rPr>
              <w:t>Brittle</w:t>
            </w:r>
            <w:proofErr w:type="spellEnd"/>
            <w:r w:rsidRPr="00967C53">
              <w:rPr>
                <w:rFonts w:ascii="Times New Roman" w:hAnsi="Times New Roman" w:cs="Times New Roman"/>
                <w:lang w:val="uk-UA"/>
              </w:rPr>
              <w:t>)</w:t>
            </w:r>
          </w:p>
        </w:tc>
        <w:tc>
          <w:tcPr>
            <w:tcW w:w="0" w:type="auto"/>
            <w:hideMark/>
          </w:tcPr>
          <w:p w14:paraId="219AD923"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Гнучкість та Стійкість</w:t>
            </w:r>
          </w:p>
        </w:tc>
        <w:tc>
          <w:tcPr>
            <w:tcW w:w="0" w:type="auto"/>
            <w:hideMark/>
          </w:tcPr>
          <w:p w14:paraId="4C88DA4C"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 xml:space="preserve">Сценарне планування, резервні плани, альтернативні поставки </w:t>
            </w:r>
            <w:r w:rsidRPr="00967C53">
              <w:rPr>
                <w:rFonts w:ascii="Times New Roman" w:hAnsi="Times New Roman" w:cs="Times New Roman"/>
                <w:vertAlign w:val="superscript"/>
                <w:lang w:val="uk-UA"/>
              </w:rPr>
              <w:t>8</w:t>
            </w:r>
          </w:p>
        </w:tc>
      </w:tr>
      <w:tr w:rsidR="00DD044F" w:rsidRPr="00967C53" w14:paraId="692C7328" w14:textId="77777777" w:rsidTr="00DD044F">
        <w:tc>
          <w:tcPr>
            <w:tcW w:w="0" w:type="auto"/>
            <w:hideMark/>
          </w:tcPr>
          <w:p w14:paraId="52FA9977"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Невизначеність</w:t>
            </w:r>
          </w:p>
        </w:tc>
        <w:tc>
          <w:tcPr>
            <w:tcW w:w="0" w:type="auto"/>
            <w:hideMark/>
          </w:tcPr>
          <w:p w14:paraId="72DE4B43"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Незбагненне (</w:t>
            </w:r>
            <w:proofErr w:type="spellStart"/>
            <w:r w:rsidRPr="00967C53">
              <w:rPr>
                <w:rFonts w:ascii="Times New Roman" w:hAnsi="Times New Roman" w:cs="Times New Roman"/>
                <w:lang w:val="uk-UA"/>
              </w:rPr>
              <w:t>Incomprehensible</w:t>
            </w:r>
            <w:proofErr w:type="spellEnd"/>
            <w:r w:rsidRPr="00967C53">
              <w:rPr>
                <w:rFonts w:ascii="Times New Roman" w:hAnsi="Times New Roman" w:cs="Times New Roman"/>
                <w:lang w:val="uk-UA"/>
              </w:rPr>
              <w:t>)</w:t>
            </w:r>
          </w:p>
        </w:tc>
        <w:tc>
          <w:tcPr>
            <w:tcW w:w="0" w:type="auto"/>
            <w:hideMark/>
          </w:tcPr>
          <w:p w14:paraId="54FA2BCB"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Усвідомленість та Прозорість</w:t>
            </w:r>
          </w:p>
        </w:tc>
        <w:tc>
          <w:tcPr>
            <w:tcW w:w="0" w:type="auto"/>
            <w:hideMark/>
          </w:tcPr>
          <w:p w14:paraId="1C6EFEAA"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 xml:space="preserve">Застосування AI та аналітичних інструментів для складних даних </w:t>
            </w:r>
            <w:r w:rsidRPr="00967C53">
              <w:rPr>
                <w:rFonts w:ascii="Times New Roman" w:hAnsi="Times New Roman" w:cs="Times New Roman"/>
                <w:vertAlign w:val="superscript"/>
                <w:lang w:val="uk-UA"/>
              </w:rPr>
              <w:t>8</w:t>
            </w:r>
          </w:p>
        </w:tc>
      </w:tr>
      <w:tr w:rsidR="00DD044F" w:rsidRPr="00967C53" w14:paraId="26875085" w14:textId="77777777" w:rsidTr="00DD044F">
        <w:tc>
          <w:tcPr>
            <w:tcW w:w="0" w:type="auto"/>
            <w:hideMark/>
          </w:tcPr>
          <w:p w14:paraId="694AB699"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Складність</w:t>
            </w:r>
          </w:p>
        </w:tc>
        <w:tc>
          <w:tcPr>
            <w:tcW w:w="0" w:type="auto"/>
            <w:hideMark/>
          </w:tcPr>
          <w:p w14:paraId="724BE917"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Нелінійність (</w:t>
            </w:r>
            <w:proofErr w:type="spellStart"/>
            <w:r w:rsidRPr="00967C53">
              <w:rPr>
                <w:rFonts w:ascii="Times New Roman" w:hAnsi="Times New Roman" w:cs="Times New Roman"/>
                <w:lang w:val="uk-UA"/>
              </w:rPr>
              <w:t>Nonlinear</w:t>
            </w:r>
            <w:proofErr w:type="spellEnd"/>
            <w:r w:rsidRPr="00967C53">
              <w:rPr>
                <w:rFonts w:ascii="Times New Roman" w:hAnsi="Times New Roman" w:cs="Times New Roman"/>
                <w:lang w:val="uk-UA"/>
              </w:rPr>
              <w:t>)</w:t>
            </w:r>
          </w:p>
        </w:tc>
        <w:tc>
          <w:tcPr>
            <w:tcW w:w="0" w:type="auto"/>
            <w:hideMark/>
          </w:tcPr>
          <w:p w14:paraId="653A0B91"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Ясність та Адаптація</w:t>
            </w:r>
          </w:p>
        </w:tc>
        <w:tc>
          <w:tcPr>
            <w:tcW w:w="0" w:type="auto"/>
            <w:hideMark/>
          </w:tcPr>
          <w:p w14:paraId="7EDAAF62"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 xml:space="preserve">Вивчення та швидка адаптація до змінних ринків </w:t>
            </w:r>
            <w:r w:rsidRPr="00967C53">
              <w:rPr>
                <w:rFonts w:ascii="Times New Roman" w:hAnsi="Times New Roman" w:cs="Times New Roman"/>
                <w:vertAlign w:val="superscript"/>
                <w:lang w:val="uk-UA"/>
              </w:rPr>
              <w:t>8</w:t>
            </w:r>
          </w:p>
        </w:tc>
      </w:tr>
      <w:tr w:rsidR="00DD044F" w:rsidRPr="00967C53" w14:paraId="62039855" w14:textId="77777777" w:rsidTr="00DD044F">
        <w:tc>
          <w:tcPr>
            <w:tcW w:w="0" w:type="auto"/>
            <w:hideMark/>
          </w:tcPr>
          <w:p w14:paraId="3028B2FE"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Неоднозначність</w:t>
            </w:r>
          </w:p>
        </w:tc>
        <w:tc>
          <w:tcPr>
            <w:tcW w:w="0" w:type="auto"/>
            <w:hideMark/>
          </w:tcPr>
          <w:p w14:paraId="2467885A"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Занепокоєння (</w:t>
            </w:r>
            <w:proofErr w:type="spellStart"/>
            <w:r w:rsidRPr="00967C53">
              <w:rPr>
                <w:rFonts w:ascii="Times New Roman" w:hAnsi="Times New Roman" w:cs="Times New Roman"/>
                <w:lang w:val="uk-UA"/>
              </w:rPr>
              <w:t>Anxious</w:t>
            </w:r>
            <w:proofErr w:type="spellEnd"/>
            <w:r w:rsidRPr="00967C53">
              <w:rPr>
                <w:rFonts w:ascii="Times New Roman" w:hAnsi="Times New Roman" w:cs="Times New Roman"/>
                <w:lang w:val="uk-UA"/>
              </w:rPr>
              <w:t>)</w:t>
            </w:r>
          </w:p>
        </w:tc>
        <w:tc>
          <w:tcPr>
            <w:tcW w:w="0" w:type="auto"/>
            <w:hideMark/>
          </w:tcPr>
          <w:p w14:paraId="32E6A283"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Відкриті комунікації та Довіра</w:t>
            </w:r>
          </w:p>
        </w:tc>
        <w:tc>
          <w:tcPr>
            <w:tcW w:w="0" w:type="auto"/>
            <w:hideMark/>
          </w:tcPr>
          <w:p w14:paraId="54F54FCF" w14:textId="77777777" w:rsidR="00967C53" w:rsidRPr="00967C53" w:rsidRDefault="00967C53" w:rsidP="00DD044F">
            <w:pPr>
              <w:jc w:val="both"/>
              <w:rPr>
                <w:rFonts w:ascii="Times New Roman" w:hAnsi="Times New Roman" w:cs="Times New Roman"/>
                <w:lang w:val="uk-UA"/>
              </w:rPr>
            </w:pPr>
            <w:r w:rsidRPr="00967C53">
              <w:rPr>
                <w:rFonts w:ascii="Times New Roman" w:hAnsi="Times New Roman" w:cs="Times New Roman"/>
                <w:lang w:val="uk-UA"/>
              </w:rPr>
              <w:t xml:space="preserve">Формування позитивного клімату та психологічної стійкості команди </w:t>
            </w:r>
            <w:r w:rsidRPr="00967C53">
              <w:rPr>
                <w:rFonts w:ascii="Times New Roman" w:hAnsi="Times New Roman" w:cs="Times New Roman"/>
                <w:vertAlign w:val="superscript"/>
                <w:lang w:val="uk-UA"/>
              </w:rPr>
              <w:t>8</w:t>
            </w:r>
          </w:p>
        </w:tc>
      </w:tr>
    </w:tbl>
    <w:p w14:paraId="3EF7D071" w14:textId="4BD92072" w:rsidR="00967C53" w:rsidRPr="00967C53" w:rsidRDefault="00967C53" w:rsidP="000D5701">
      <w:pPr>
        <w:spacing w:after="0" w:line="360" w:lineRule="auto"/>
        <w:ind w:firstLine="810"/>
        <w:jc w:val="both"/>
        <w:rPr>
          <w:rFonts w:ascii="Times New Roman" w:hAnsi="Times New Roman" w:cs="Times New Roman"/>
          <w:sz w:val="28"/>
          <w:szCs w:val="28"/>
          <w:lang w:val="uk-UA"/>
        </w:rPr>
      </w:pPr>
    </w:p>
    <w:p w14:paraId="759F36D3"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Планування бізнес-процесів є критичною інтеграційною точкою, де зустрічаються всі елементи стратегічного управління. Ієрархія планування задає часовий горизонт, BSC встановлює каузальні зв'язки, </w:t>
      </w:r>
      <w:proofErr w:type="spellStart"/>
      <w:r w:rsidRPr="00967C53">
        <w:rPr>
          <w:rFonts w:ascii="Times New Roman" w:hAnsi="Times New Roman" w:cs="Times New Roman"/>
          <w:sz w:val="28"/>
          <w:szCs w:val="28"/>
          <w:lang w:val="uk-UA"/>
        </w:rPr>
        <w:t>Value</w:t>
      </w:r>
      <w:proofErr w:type="spellEnd"/>
      <w:r w:rsidRPr="00967C53">
        <w:rPr>
          <w:rFonts w:ascii="Times New Roman" w:hAnsi="Times New Roman" w:cs="Times New Roman"/>
          <w:sz w:val="28"/>
          <w:szCs w:val="28"/>
          <w:lang w:val="uk-UA"/>
        </w:rPr>
        <w:t xml:space="preserve"> </w:t>
      </w:r>
      <w:proofErr w:type="spellStart"/>
      <w:r w:rsidRPr="00967C53">
        <w:rPr>
          <w:rFonts w:ascii="Times New Roman" w:hAnsi="Times New Roman" w:cs="Times New Roman"/>
          <w:sz w:val="28"/>
          <w:szCs w:val="28"/>
          <w:lang w:val="uk-UA"/>
        </w:rPr>
        <w:t>Chain</w:t>
      </w:r>
      <w:proofErr w:type="spellEnd"/>
      <w:r w:rsidRPr="00967C53">
        <w:rPr>
          <w:rFonts w:ascii="Times New Roman" w:hAnsi="Times New Roman" w:cs="Times New Roman"/>
          <w:sz w:val="28"/>
          <w:szCs w:val="28"/>
          <w:lang w:val="uk-UA"/>
        </w:rPr>
        <w:t xml:space="preserve"> надає структурну архітектуру, а виклики VUCA та BANI визначають необхідну ступінь гнучкості та стійкості.</w:t>
      </w:r>
    </w:p>
    <w:p w14:paraId="780739DB"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Ключовий виклик для сучасного менеджменту полягає у подоланні внутрішнього організаційного опору та усуненні розриву між статичною структурою планування (жорсткими річними бюджетами та планами-графіками) та динамічною потребою ринку. Це вимагає відмови від лінійного підходу до планування.</w:t>
      </w:r>
    </w:p>
    <w:p w14:paraId="4843747A" w14:textId="77777777" w:rsidR="00967C53" w:rsidRPr="00967C53" w:rsidRDefault="00967C53" w:rsidP="000D5701">
      <w:pPr>
        <w:spacing w:after="0" w:line="360" w:lineRule="auto"/>
        <w:ind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lastRenderedPageBreak/>
        <w:t>Майбутнє планування бізнес-процесів вимагає двох взаємопов’язаних елементів:</w:t>
      </w:r>
    </w:p>
    <w:p w14:paraId="5ED85824" w14:textId="77777777" w:rsidR="00967C53" w:rsidRPr="00967C53" w:rsidRDefault="00967C53" w:rsidP="000D5701">
      <w:pPr>
        <w:numPr>
          <w:ilvl w:val="0"/>
          <w:numId w:val="5"/>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Постійний цикл стратегічного навчання: Використання BSC як інструменту для постійної перевірки та корекції стратегічних гіпотез. Це дозволяє організації швидко ідентифікувати, які саме процеси потребують інновацій або оптимізації.</w:t>
      </w:r>
    </w:p>
    <w:p w14:paraId="2CBA4588" w14:textId="77777777" w:rsidR="00967C53" w:rsidRPr="00967C53" w:rsidRDefault="00967C53" w:rsidP="000D5701">
      <w:pPr>
        <w:numPr>
          <w:ilvl w:val="0"/>
          <w:numId w:val="5"/>
        </w:numPr>
        <w:spacing w:after="0" w:line="360" w:lineRule="auto"/>
        <w:ind w:left="0" w:firstLine="810"/>
        <w:jc w:val="both"/>
        <w:rPr>
          <w:rFonts w:ascii="Times New Roman" w:hAnsi="Times New Roman" w:cs="Times New Roman"/>
          <w:sz w:val="28"/>
          <w:szCs w:val="28"/>
          <w:lang w:val="uk-UA"/>
        </w:rPr>
      </w:pPr>
      <w:r w:rsidRPr="00967C53">
        <w:rPr>
          <w:rFonts w:ascii="Times New Roman" w:hAnsi="Times New Roman" w:cs="Times New Roman"/>
          <w:sz w:val="28"/>
          <w:szCs w:val="28"/>
          <w:lang w:val="uk-UA"/>
        </w:rPr>
        <w:t xml:space="preserve">Інтеграція цифрових технологій: Використання штучного інтелекту та автоматизації для забезпечення необхідної швидкості та точності управління, що є прямою відповіддю на Невизначеність та Складність VUCA-світу. Це дозволяє перетворити оперативне планування на </w:t>
      </w:r>
      <w:proofErr w:type="spellStart"/>
      <w:r w:rsidRPr="00967C53">
        <w:rPr>
          <w:rFonts w:ascii="Times New Roman" w:hAnsi="Times New Roman" w:cs="Times New Roman"/>
          <w:sz w:val="28"/>
          <w:szCs w:val="28"/>
          <w:lang w:val="uk-UA"/>
        </w:rPr>
        <w:t>високоадаптивний</w:t>
      </w:r>
      <w:proofErr w:type="spellEnd"/>
      <w:r w:rsidRPr="00967C53">
        <w:rPr>
          <w:rFonts w:ascii="Times New Roman" w:hAnsi="Times New Roman" w:cs="Times New Roman"/>
          <w:sz w:val="28"/>
          <w:szCs w:val="28"/>
          <w:lang w:val="uk-UA"/>
        </w:rPr>
        <w:t>, а не просто реактивний процес, забезпечуючи стійкість організації.</w:t>
      </w:r>
    </w:p>
    <w:p w14:paraId="29FB978A" w14:textId="77777777" w:rsidR="00967C53" w:rsidRDefault="00967C53" w:rsidP="000D5701">
      <w:pPr>
        <w:spacing w:after="0" w:line="360" w:lineRule="auto"/>
        <w:ind w:firstLine="810"/>
        <w:jc w:val="both"/>
        <w:rPr>
          <w:rFonts w:ascii="Times New Roman" w:hAnsi="Times New Roman" w:cs="Times New Roman"/>
          <w:sz w:val="28"/>
          <w:szCs w:val="28"/>
          <w:lang w:val="uk-UA"/>
        </w:rPr>
      </w:pPr>
    </w:p>
    <w:p w14:paraId="3B71BF91" w14:textId="50605C34" w:rsidR="00C36696" w:rsidRPr="00C36696" w:rsidRDefault="004E1318" w:rsidP="004E1318">
      <w:pPr>
        <w:spacing w:after="0" w:line="360" w:lineRule="auto"/>
        <w:ind w:firstLine="810"/>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для самоконтролю</w:t>
      </w:r>
    </w:p>
    <w:p w14:paraId="3EB2A35E" w14:textId="77777777" w:rsidR="00C36696"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t xml:space="preserve">Який рівень планування (Стратегічний, Тактичний, чи Оперативний) слугує мостом між довгостроковими цілями та щоденними операціями, і який ключовий фінансовий інструмент використовується на цьому рівні для розподілу ресурсів?    </w:t>
      </w:r>
    </w:p>
    <w:p w14:paraId="2E677A10" w14:textId="77777777" w:rsidR="00C36696"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t xml:space="preserve">Опишіть причинно-наслідковий зв'язок між перспективами «Персонал (Навчання та Розвиток)» та «Внутрішні Бізнес-Процеси» в моделі Збалансованої Системи Показників (BSC).    </w:t>
      </w:r>
    </w:p>
    <w:p w14:paraId="0DEA3EE0" w14:textId="77777777" w:rsidR="00C36696"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t xml:space="preserve">Як BSC допомагає керівництву запобігти явищу </w:t>
      </w:r>
      <w:proofErr w:type="spellStart"/>
      <w:r w:rsidRPr="004E1318">
        <w:rPr>
          <w:rFonts w:ascii="Times New Roman" w:hAnsi="Times New Roman" w:cs="Times New Roman"/>
          <w:sz w:val="28"/>
          <w:szCs w:val="28"/>
          <w:lang w:val="uk-UA"/>
        </w:rPr>
        <w:t>субоптимізації</w:t>
      </w:r>
      <w:proofErr w:type="spellEnd"/>
      <w:r w:rsidRPr="004E1318">
        <w:rPr>
          <w:rFonts w:ascii="Times New Roman" w:hAnsi="Times New Roman" w:cs="Times New Roman"/>
          <w:sz w:val="28"/>
          <w:szCs w:val="28"/>
          <w:lang w:val="uk-UA"/>
        </w:rPr>
        <w:t xml:space="preserve"> в організації?    </w:t>
      </w:r>
    </w:p>
    <w:p w14:paraId="7B5135FF" w14:textId="77777777" w:rsidR="00C36696"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t xml:space="preserve">Скільки KPI, згідно з рекомендаціями BSC, має бути встановлено на рівні окремого співробітника, і чому таке жорстке обмеження є критичним для забезпечення оперативного фокусу?    </w:t>
      </w:r>
    </w:p>
    <w:p w14:paraId="68F441BF" w14:textId="77777777" w:rsidR="00C36696"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t xml:space="preserve">Чому стратеги називають BSC інструментом «стратегічного навчання»?    </w:t>
      </w:r>
    </w:p>
    <w:p w14:paraId="5F4A596D" w14:textId="77777777" w:rsidR="00C36696"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lastRenderedPageBreak/>
        <w:t xml:space="preserve">На які дві основні категорії видів діяльності поділяє організацію Ланцюжок Цінності Портера? Наведіть приклад процесів, що належать до Допоміжних (Підтримуючих).    </w:t>
      </w:r>
    </w:p>
    <w:p w14:paraId="67B4F81D" w14:textId="77777777" w:rsidR="00C36696"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t>Яке управлінське значення мають внутрішні зв'язки (</w:t>
      </w:r>
      <w:proofErr w:type="spellStart"/>
      <w:r w:rsidRPr="004E1318">
        <w:rPr>
          <w:rFonts w:ascii="Times New Roman" w:hAnsi="Times New Roman" w:cs="Times New Roman"/>
          <w:sz w:val="28"/>
          <w:szCs w:val="28"/>
          <w:lang w:val="uk-UA"/>
        </w:rPr>
        <w:t>internal</w:t>
      </w:r>
      <w:proofErr w:type="spellEnd"/>
      <w:r w:rsidRPr="004E1318">
        <w:rPr>
          <w:rFonts w:ascii="Times New Roman" w:hAnsi="Times New Roman" w:cs="Times New Roman"/>
          <w:sz w:val="28"/>
          <w:szCs w:val="28"/>
          <w:lang w:val="uk-UA"/>
        </w:rPr>
        <w:t xml:space="preserve"> </w:t>
      </w:r>
      <w:proofErr w:type="spellStart"/>
      <w:r w:rsidRPr="004E1318">
        <w:rPr>
          <w:rFonts w:ascii="Times New Roman" w:hAnsi="Times New Roman" w:cs="Times New Roman"/>
          <w:sz w:val="28"/>
          <w:szCs w:val="28"/>
          <w:lang w:val="uk-UA"/>
        </w:rPr>
        <w:t>linkages</w:t>
      </w:r>
      <w:proofErr w:type="spellEnd"/>
      <w:r w:rsidRPr="004E1318">
        <w:rPr>
          <w:rFonts w:ascii="Times New Roman" w:hAnsi="Times New Roman" w:cs="Times New Roman"/>
          <w:sz w:val="28"/>
          <w:szCs w:val="28"/>
          <w:lang w:val="uk-UA"/>
        </w:rPr>
        <w:t xml:space="preserve">) між видами діяльності в Ланцюжку Цінності, і як їхня слабкість впливає на загальну ефективність та витрати?    </w:t>
      </w:r>
    </w:p>
    <w:p w14:paraId="10E634AB" w14:textId="77777777" w:rsidR="00C36696"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t>Яка сучасна концепція (BANI) прийшла на зміну VUCA, і що означає термін «Крихкість (</w:t>
      </w:r>
      <w:proofErr w:type="spellStart"/>
      <w:r w:rsidRPr="004E1318">
        <w:rPr>
          <w:rFonts w:ascii="Times New Roman" w:hAnsi="Times New Roman" w:cs="Times New Roman"/>
          <w:sz w:val="28"/>
          <w:szCs w:val="28"/>
          <w:lang w:val="uk-UA"/>
        </w:rPr>
        <w:t>Brittle</w:t>
      </w:r>
      <w:proofErr w:type="spellEnd"/>
      <w:r w:rsidRPr="004E1318">
        <w:rPr>
          <w:rFonts w:ascii="Times New Roman" w:hAnsi="Times New Roman" w:cs="Times New Roman"/>
          <w:sz w:val="28"/>
          <w:szCs w:val="28"/>
          <w:lang w:val="uk-UA"/>
        </w:rPr>
        <w:t xml:space="preserve">)» у контексті планування ланцюга поставок?    </w:t>
      </w:r>
    </w:p>
    <w:p w14:paraId="2C9EC49A" w14:textId="77777777" w:rsidR="00C36696"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t>Які технологічні інструменти пропонується інтегрувати у планування, щоб протидіяти виклику «Незбагненного (</w:t>
      </w:r>
      <w:proofErr w:type="spellStart"/>
      <w:r w:rsidRPr="004E1318">
        <w:rPr>
          <w:rFonts w:ascii="Times New Roman" w:hAnsi="Times New Roman" w:cs="Times New Roman"/>
          <w:sz w:val="28"/>
          <w:szCs w:val="28"/>
          <w:lang w:val="uk-UA"/>
        </w:rPr>
        <w:t>Incomprehensible</w:t>
      </w:r>
      <w:proofErr w:type="spellEnd"/>
      <w:r w:rsidRPr="004E1318">
        <w:rPr>
          <w:rFonts w:ascii="Times New Roman" w:hAnsi="Times New Roman" w:cs="Times New Roman"/>
          <w:sz w:val="28"/>
          <w:szCs w:val="28"/>
          <w:lang w:val="uk-UA"/>
        </w:rPr>
        <w:t xml:space="preserve">)» в BANI-середовищі?    </w:t>
      </w:r>
    </w:p>
    <w:p w14:paraId="22F1A69D" w14:textId="455AC95E" w:rsidR="00DD044F" w:rsidRPr="004E1318" w:rsidRDefault="00C36696" w:rsidP="004E1318">
      <w:pPr>
        <w:pStyle w:val="ListParagraph"/>
        <w:numPr>
          <w:ilvl w:val="0"/>
          <w:numId w:val="7"/>
        </w:numPr>
        <w:spacing w:after="0" w:line="360" w:lineRule="auto"/>
        <w:ind w:left="0" w:firstLine="810"/>
        <w:jc w:val="both"/>
        <w:rPr>
          <w:rFonts w:ascii="Times New Roman" w:hAnsi="Times New Roman" w:cs="Times New Roman"/>
          <w:sz w:val="28"/>
          <w:szCs w:val="28"/>
          <w:lang w:val="uk-UA"/>
        </w:rPr>
      </w:pPr>
      <w:r w:rsidRPr="004E1318">
        <w:rPr>
          <w:rFonts w:ascii="Times New Roman" w:hAnsi="Times New Roman" w:cs="Times New Roman"/>
          <w:sz w:val="28"/>
          <w:szCs w:val="28"/>
          <w:lang w:val="uk-UA"/>
        </w:rPr>
        <w:t>Поясніть протиріччя між традиційним річним циклом бюджетування/планування (розробка планів-графіків у листопаді–грудні) та вимогою до гнучкості в VUCA-середовищі.</w:t>
      </w:r>
    </w:p>
    <w:sectPr w:rsidR="00DD044F" w:rsidRPr="004E1318">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D9F"/>
    <w:multiLevelType w:val="multilevel"/>
    <w:tmpl w:val="5B64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87ECF"/>
    <w:multiLevelType w:val="hybridMultilevel"/>
    <w:tmpl w:val="515829F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A026BCB"/>
    <w:multiLevelType w:val="multilevel"/>
    <w:tmpl w:val="2A4A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94168"/>
    <w:multiLevelType w:val="multilevel"/>
    <w:tmpl w:val="C522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C2B9B"/>
    <w:multiLevelType w:val="multilevel"/>
    <w:tmpl w:val="4C1A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37546A"/>
    <w:multiLevelType w:val="hybridMultilevel"/>
    <w:tmpl w:val="0FAA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F235F"/>
    <w:multiLevelType w:val="multilevel"/>
    <w:tmpl w:val="3B6AA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553041">
    <w:abstractNumId w:val="2"/>
  </w:num>
  <w:num w:numId="2" w16cid:durableId="2117828269">
    <w:abstractNumId w:val="4"/>
  </w:num>
  <w:num w:numId="3" w16cid:durableId="136803812">
    <w:abstractNumId w:val="0"/>
  </w:num>
  <w:num w:numId="4" w16cid:durableId="515921716">
    <w:abstractNumId w:val="6"/>
  </w:num>
  <w:num w:numId="5" w16cid:durableId="1945113650">
    <w:abstractNumId w:val="3"/>
  </w:num>
  <w:num w:numId="6" w16cid:durableId="936909938">
    <w:abstractNumId w:val="5"/>
  </w:num>
  <w:num w:numId="7" w16cid:durableId="151128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6A"/>
    <w:rsid w:val="0009449F"/>
    <w:rsid w:val="000D5701"/>
    <w:rsid w:val="00186CD7"/>
    <w:rsid w:val="00247E9A"/>
    <w:rsid w:val="00292702"/>
    <w:rsid w:val="003365EE"/>
    <w:rsid w:val="004E1318"/>
    <w:rsid w:val="00562D6E"/>
    <w:rsid w:val="006A6873"/>
    <w:rsid w:val="006E7336"/>
    <w:rsid w:val="007120D6"/>
    <w:rsid w:val="00713EB0"/>
    <w:rsid w:val="007B6A4B"/>
    <w:rsid w:val="007F07AB"/>
    <w:rsid w:val="00967C53"/>
    <w:rsid w:val="00994B6A"/>
    <w:rsid w:val="00AF2352"/>
    <w:rsid w:val="00C36696"/>
    <w:rsid w:val="00DD044F"/>
    <w:rsid w:val="00EE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DFA3"/>
  <w15:chartTrackingRefBased/>
  <w15:docId w15:val="{CBE4792C-368D-409A-8DAE-D33EFFFA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B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B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B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B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B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B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B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B6A"/>
    <w:rPr>
      <w:rFonts w:eastAsiaTheme="majorEastAsia" w:cstheme="majorBidi"/>
      <w:color w:val="272727" w:themeColor="text1" w:themeTint="D8"/>
    </w:rPr>
  </w:style>
  <w:style w:type="paragraph" w:styleId="Title">
    <w:name w:val="Title"/>
    <w:basedOn w:val="Normal"/>
    <w:next w:val="Normal"/>
    <w:link w:val="TitleChar"/>
    <w:uiPriority w:val="10"/>
    <w:qFormat/>
    <w:rsid w:val="0099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B6A"/>
    <w:pPr>
      <w:spacing w:before="160"/>
      <w:jc w:val="center"/>
    </w:pPr>
    <w:rPr>
      <w:i/>
      <w:iCs/>
      <w:color w:val="404040" w:themeColor="text1" w:themeTint="BF"/>
    </w:rPr>
  </w:style>
  <w:style w:type="character" w:customStyle="1" w:styleId="QuoteChar">
    <w:name w:val="Quote Char"/>
    <w:basedOn w:val="DefaultParagraphFont"/>
    <w:link w:val="Quote"/>
    <w:uiPriority w:val="29"/>
    <w:rsid w:val="00994B6A"/>
    <w:rPr>
      <w:i/>
      <w:iCs/>
      <w:color w:val="404040" w:themeColor="text1" w:themeTint="BF"/>
    </w:rPr>
  </w:style>
  <w:style w:type="paragraph" w:styleId="ListParagraph">
    <w:name w:val="List Paragraph"/>
    <w:basedOn w:val="Normal"/>
    <w:uiPriority w:val="34"/>
    <w:qFormat/>
    <w:rsid w:val="00994B6A"/>
    <w:pPr>
      <w:ind w:left="720"/>
      <w:contextualSpacing/>
    </w:pPr>
  </w:style>
  <w:style w:type="character" w:styleId="IntenseEmphasis">
    <w:name w:val="Intense Emphasis"/>
    <w:basedOn w:val="DefaultParagraphFont"/>
    <w:uiPriority w:val="21"/>
    <w:qFormat/>
    <w:rsid w:val="00994B6A"/>
    <w:rPr>
      <w:i/>
      <w:iCs/>
      <w:color w:val="2F5496" w:themeColor="accent1" w:themeShade="BF"/>
    </w:rPr>
  </w:style>
  <w:style w:type="paragraph" w:styleId="IntenseQuote">
    <w:name w:val="Intense Quote"/>
    <w:basedOn w:val="Normal"/>
    <w:next w:val="Normal"/>
    <w:link w:val="IntenseQuoteChar"/>
    <w:uiPriority w:val="30"/>
    <w:qFormat/>
    <w:rsid w:val="00994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B6A"/>
    <w:rPr>
      <w:i/>
      <w:iCs/>
      <w:color w:val="2F5496" w:themeColor="accent1" w:themeShade="BF"/>
    </w:rPr>
  </w:style>
  <w:style w:type="character" w:styleId="IntenseReference">
    <w:name w:val="Intense Reference"/>
    <w:basedOn w:val="DefaultParagraphFont"/>
    <w:uiPriority w:val="32"/>
    <w:qFormat/>
    <w:rsid w:val="00994B6A"/>
    <w:rPr>
      <w:b/>
      <w:bCs/>
      <w:smallCaps/>
      <w:color w:val="2F5496" w:themeColor="accent1" w:themeShade="BF"/>
      <w:spacing w:val="5"/>
    </w:rPr>
  </w:style>
  <w:style w:type="table" w:styleId="TableGrid">
    <w:name w:val="Table Grid"/>
    <w:basedOn w:val="TableNormal"/>
    <w:uiPriority w:val="39"/>
    <w:rsid w:val="0033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2</cp:revision>
  <dcterms:created xsi:type="dcterms:W3CDTF">2025-10-07T16:59:00Z</dcterms:created>
  <dcterms:modified xsi:type="dcterms:W3CDTF">2025-10-07T17:50:00Z</dcterms:modified>
</cp:coreProperties>
</file>