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9" w:rsidRPr="00CD3B79" w:rsidRDefault="00CD3B79" w:rsidP="00CD3B79">
      <w:pPr>
        <w:pStyle w:val="2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6</w:t>
      </w:r>
      <w:bookmarkStart w:id="0" w:name="_GoBack"/>
      <w:bookmarkEnd w:id="0"/>
    </w:p>
    <w:p w:rsidR="00CD3B79" w:rsidRPr="00934456" w:rsidRDefault="00CD3B79" w:rsidP="00CD3B79">
      <w:pPr>
        <w:pStyle w:val="2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Case</w:t>
      </w:r>
      <w:r w:rsidRPr="00B276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ru-RU"/>
        </w:rPr>
        <w:t>6</w:t>
      </w:r>
      <w:r w:rsidRPr="00B276E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</w:t>
      </w:r>
      <w:r w:rsidRPr="00B276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en-US"/>
        </w:rPr>
        <w:t xml:space="preserve">Adidas. </w:t>
      </w:r>
      <w:r w:rsidRPr="003B03EB">
        <w:rPr>
          <w:b/>
          <w:sz w:val="28"/>
          <w:szCs w:val="28"/>
          <w:lang w:val="en-US"/>
        </w:rPr>
        <w:t>Planning effective marketing strategies for a target audience</w:t>
      </w:r>
      <w:r>
        <w:rPr>
          <w:b/>
          <w:sz w:val="28"/>
          <w:szCs w:val="28"/>
          <w:lang w:val="uk-UA"/>
        </w:rPr>
        <w:t>»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uk-UA"/>
        </w:rPr>
      </w:pPr>
    </w:p>
    <w:p w:rsidR="00CD3B79" w:rsidRPr="00BF6244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en-US"/>
        </w:rPr>
      </w:pPr>
      <w:r w:rsidRPr="00BF6244">
        <w:rPr>
          <w:b/>
          <w:i/>
          <w:sz w:val="28"/>
          <w:szCs w:val="28"/>
          <w:lang w:val="en-US"/>
        </w:rPr>
        <w:t xml:space="preserve">Introduction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Since it was established in </w:t>
      </w:r>
      <w:smartTag w:uri="urn:schemas-microsoft-com:office:smarttags" w:element="country-region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Germany</w:t>
          </w:r>
        </w:smartTag>
      </w:smartTag>
      <w:r w:rsidRPr="00326237">
        <w:rPr>
          <w:sz w:val="28"/>
          <w:szCs w:val="28"/>
          <w:lang w:val="en-US"/>
        </w:rPr>
        <w:t xml:space="preserve"> in 1949, by Adolf </w:t>
      </w:r>
      <w:proofErr w:type="spellStart"/>
      <w:r w:rsidRPr="00326237">
        <w:rPr>
          <w:sz w:val="28"/>
          <w:szCs w:val="28"/>
          <w:lang w:val="en-US"/>
        </w:rPr>
        <w:t>Dassler</w:t>
      </w:r>
      <w:proofErr w:type="spellEnd"/>
      <w:r w:rsidRPr="0032623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has been synonymous with the sporting industry. Today,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is a global public company and is one of the largest sports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brands in the world. It is a household brand name with its three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stripes logo </w:t>
      </w:r>
      <w:proofErr w:type="spellStart"/>
      <w:r w:rsidRPr="00326237">
        <w:rPr>
          <w:sz w:val="28"/>
          <w:szCs w:val="28"/>
          <w:lang w:val="en-US"/>
        </w:rPr>
        <w:t>recognised</w:t>
      </w:r>
      <w:proofErr w:type="spellEnd"/>
      <w:r w:rsidRPr="00326237">
        <w:rPr>
          <w:sz w:val="28"/>
          <w:szCs w:val="28"/>
          <w:lang w:val="en-US"/>
        </w:rPr>
        <w:t xml:space="preserve"> in markets across the world.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The company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 product portfolio is vast, ranging from state-of-the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art sports footwear and clothing to accessories such as bags,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watches, eyewear and other sports-related goods and equipment.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Employing over 46,000 people worldwide, the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Group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consists of around 170 subsidiaries including Reebok,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TaylorMade-adidas</w:t>
      </w:r>
      <w:proofErr w:type="spellEnd"/>
      <w:r w:rsidRPr="00326237">
        <w:rPr>
          <w:sz w:val="28"/>
          <w:szCs w:val="28"/>
          <w:lang w:val="en-US"/>
        </w:rPr>
        <w:t xml:space="preserve"> Golf, Rockport and CCM-Hockey. The Group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headquarters are in </w:t>
      </w:r>
      <w:proofErr w:type="spellStart"/>
      <w:smartTag w:uri="urn:schemas-microsoft-com:office:smarttags" w:element="place">
        <w:smartTag w:uri="urn:schemas-microsoft-com:office:smarttags" w:element="City">
          <w:r w:rsidRPr="00326237">
            <w:rPr>
              <w:sz w:val="28"/>
              <w:szCs w:val="28"/>
              <w:lang w:val="en-US"/>
            </w:rPr>
            <w:t>Herzogenaurach</w:t>
          </w:r>
        </w:smartTag>
        <w:proofErr w:type="spellEnd"/>
        <w:r w:rsidRPr="00326237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326237">
            <w:rPr>
              <w:sz w:val="28"/>
              <w:szCs w:val="28"/>
              <w:lang w:val="en-US"/>
            </w:rPr>
            <w:t>Germany</w:t>
          </w:r>
        </w:smartTag>
      </w:smartTag>
      <w:r w:rsidRPr="00326237">
        <w:rPr>
          <w:sz w:val="28"/>
          <w:szCs w:val="28"/>
          <w:lang w:val="en-US"/>
        </w:rPr>
        <w:t>. In the second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quarter of 2013 the Group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s revenue was €3.383 billion.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The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brand is built on a passion for sports excellence and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innovative design to help athletes perform to the best of their ability.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It is therefore no surprise that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has supported many iconic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athletes to achieve great things at the Olympic Games. In the </w:t>
      </w:r>
      <w:smartTag w:uri="urn:schemas-microsoft-com:office:smarttags" w:element="country-region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UK</w:t>
          </w:r>
        </w:smartTag>
      </w:smartTag>
      <w:r w:rsidRPr="0032623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has partnered and supplied Team GB since 1984.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company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 heritage with the Olympic Games dates back to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Games in </w:t>
      </w:r>
      <w:smartTag w:uri="urn:schemas-microsoft-com:office:smarttags" w:element="City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Amsterdam</w:t>
          </w:r>
        </w:smartTag>
      </w:smartTag>
      <w:r w:rsidRPr="00326237">
        <w:rPr>
          <w:sz w:val="28"/>
          <w:szCs w:val="28"/>
          <w:lang w:val="en-US"/>
        </w:rPr>
        <w:t xml:space="preserve"> in 1928 when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running shoes were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debuted. Footwear and clothing by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has been seen on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athletes at every Olympic Games since. In fact, all British </w:t>
      </w:r>
      <w:proofErr w:type="spellStart"/>
      <w:r w:rsidRPr="00326237">
        <w:rPr>
          <w:sz w:val="28"/>
          <w:szCs w:val="28"/>
          <w:lang w:val="en-US"/>
        </w:rPr>
        <w:t>medalwinning</w:t>
      </w:r>
      <w:proofErr w:type="spellEnd"/>
      <w:r w:rsidRPr="00326237">
        <w:rPr>
          <w:sz w:val="28"/>
          <w:szCs w:val="28"/>
          <w:lang w:val="en-US"/>
        </w:rPr>
        <w:t xml:space="preserve"> athletes at the last 8 Olympic Games wore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products.</w:t>
      </w:r>
      <w:r>
        <w:rPr>
          <w:sz w:val="28"/>
          <w:szCs w:val="28"/>
          <w:lang w:val="en-US"/>
        </w:rPr>
        <w:t xml:space="preserve">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There are countless historic sporting achievements that have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taken place in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products. These include: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Jesse Owens’ 4 gold medals in Berlin 1936;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Cassius Marcellus Clay (Muhammad Ali) taking gold in the boxing light-heavyweight division at Rome 1960;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 xml:space="preserve">Dick </w:t>
      </w:r>
      <w:proofErr w:type="spellStart"/>
      <w:r w:rsidRPr="000C5030">
        <w:rPr>
          <w:sz w:val="28"/>
          <w:szCs w:val="28"/>
          <w:lang w:val="en-US"/>
        </w:rPr>
        <w:t>Fosbury’s</w:t>
      </w:r>
      <w:proofErr w:type="spellEnd"/>
      <w:r w:rsidRPr="000C5030">
        <w:rPr>
          <w:sz w:val="28"/>
          <w:szCs w:val="28"/>
          <w:lang w:val="en-US"/>
        </w:rPr>
        <w:t xml:space="preserve"> revolutionary new back-first high jump technique at Mexico 1968, known as the «</w:t>
      </w:r>
      <w:proofErr w:type="spellStart"/>
      <w:r w:rsidRPr="000C5030">
        <w:rPr>
          <w:sz w:val="28"/>
          <w:szCs w:val="28"/>
          <w:lang w:val="en-US"/>
        </w:rPr>
        <w:t>Fosbury</w:t>
      </w:r>
      <w:proofErr w:type="spellEnd"/>
      <w:r w:rsidRPr="000C5030">
        <w:rPr>
          <w:sz w:val="28"/>
          <w:szCs w:val="28"/>
          <w:lang w:val="en-US"/>
        </w:rPr>
        <w:t xml:space="preserve"> Flop»;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Gymnast Nadia Comaneci’s perfect 10 at Montreal 1976.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This case study demonstrates how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used innovative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marketing strategies in its sponsorship deal with the London 2012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Olympic Games to engage with young consumers in the </w:t>
      </w:r>
      <w:smartTag w:uri="urn:schemas-microsoft-com:office:smarttags" w:element="country-region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UK</w:t>
          </w:r>
        </w:smartTag>
      </w:smartTag>
      <w:r w:rsidRPr="00326237">
        <w:rPr>
          <w:sz w:val="28"/>
          <w:szCs w:val="28"/>
          <w:lang w:val="en-US"/>
        </w:rPr>
        <w:t xml:space="preserve"> and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across the globe.</w:t>
      </w:r>
    </w:p>
    <w:p w:rsidR="00CD3B79" w:rsidRPr="00BF6244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en-US"/>
        </w:rPr>
      </w:pPr>
      <w:r w:rsidRPr="00BF6244">
        <w:rPr>
          <w:b/>
          <w:i/>
          <w:sz w:val="28"/>
          <w:szCs w:val="28"/>
          <w:lang w:val="en-US"/>
        </w:rPr>
        <w:t>The marketing mix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For most </w:t>
      </w:r>
      <w:proofErr w:type="spellStart"/>
      <w:r w:rsidRPr="00326237">
        <w:rPr>
          <w:sz w:val="28"/>
          <w:szCs w:val="28"/>
          <w:lang w:val="en-US"/>
        </w:rPr>
        <w:t>organisations</w:t>
      </w:r>
      <w:proofErr w:type="spellEnd"/>
      <w:r w:rsidRPr="00326237">
        <w:rPr>
          <w:sz w:val="28"/>
          <w:szCs w:val="28"/>
          <w:lang w:val="en-US"/>
        </w:rPr>
        <w:t xml:space="preserve"> the marketing function is vital for survival.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The Chartered Institute of Marketing defines marketing as:</w:t>
      </w:r>
    </w:p>
    <w:p w:rsidR="00CD3B79" w:rsidRPr="00D335AA" w:rsidRDefault="00CD3B79" w:rsidP="00CD3B79">
      <w:pPr>
        <w:shd w:val="clear" w:color="auto" w:fill="FFFFFF"/>
        <w:ind w:left="15" w:firstLine="694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«</w:t>
      </w:r>
      <w:r w:rsidRPr="00BF6244">
        <w:rPr>
          <w:i/>
          <w:sz w:val="28"/>
          <w:szCs w:val="28"/>
          <w:lang w:val="en-US"/>
        </w:rPr>
        <w:t>Marketing is the management process responsible for identifying, anticipating and satisfying consumer requirements profitably.</w:t>
      </w:r>
      <w:r>
        <w:rPr>
          <w:i/>
          <w:sz w:val="28"/>
          <w:szCs w:val="28"/>
          <w:lang w:val="uk-UA"/>
        </w:rPr>
        <w:t>»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This definition outlines the key purposes of the marketing function.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These are: 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lastRenderedPageBreak/>
        <w:t>to compete in a competitive market place;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to identify and anticipate consumer requirements and then satisfy these requirements;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0C5030">
        <w:rPr>
          <w:sz w:val="28"/>
          <w:szCs w:val="28"/>
        </w:rPr>
        <w:t>to</w:t>
      </w:r>
      <w:proofErr w:type="spellEnd"/>
      <w:r w:rsidRPr="000C5030">
        <w:rPr>
          <w:sz w:val="28"/>
          <w:szCs w:val="28"/>
        </w:rPr>
        <w:t xml:space="preserve"> </w:t>
      </w:r>
      <w:proofErr w:type="spellStart"/>
      <w:r w:rsidRPr="000C5030">
        <w:rPr>
          <w:sz w:val="28"/>
          <w:szCs w:val="28"/>
        </w:rPr>
        <w:t>make</w:t>
      </w:r>
      <w:proofErr w:type="spellEnd"/>
      <w:r w:rsidRPr="000C5030">
        <w:rPr>
          <w:sz w:val="28"/>
          <w:szCs w:val="28"/>
        </w:rPr>
        <w:t xml:space="preserve"> a </w:t>
      </w:r>
      <w:proofErr w:type="spellStart"/>
      <w:r w:rsidRPr="000C5030">
        <w:rPr>
          <w:sz w:val="28"/>
          <w:szCs w:val="28"/>
        </w:rPr>
        <w:t>profit</w:t>
      </w:r>
      <w:proofErr w:type="spellEnd"/>
      <w:r w:rsidRPr="000C5030">
        <w:rPr>
          <w:sz w:val="28"/>
          <w:szCs w:val="28"/>
        </w:rPr>
        <w:t>.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 xml:space="preserve">As a market-orientated </w:t>
      </w:r>
      <w:proofErr w:type="spellStart"/>
      <w:r w:rsidRPr="000C5030">
        <w:rPr>
          <w:sz w:val="28"/>
          <w:szCs w:val="28"/>
          <w:lang w:val="en-US"/>
        </w:rPr>
        <w:t>organisation</w:t>
      </w:r>
      <w:proofErr w:type="spellEnd"/>
      <w:r w:rsidRPr="000C5030">
        <w:rPr>
          <w:sz w:val="28"/>
          <w:szCs w:val="28"/>
          <w:lang w:val="en-US"/>
        </w:rPr>
        <w:t xml:space="preserve"> </w:t>
      </w:r>
      <w:proofErr w:type="spellStart"/>
      <w:r w:rsidRPr="000C5030">
        <w:rPr>
          <w:sz w:val="28"/>
          <w:szCs w:val="28"/>
          <w:lang w:val="en-US"/>
        </w:rPr>
        <w:t>adidas</w:t>
      </w:r>
      <w:proofErr w:type="spellEnd"/>
      <w:r w:rsidRPr="000C5030">
        <w:rPr>
          <w:sz w:val="28"/>
          <w:szCs w:val="28"/>
          <w:lang w:val="en-US"/>
        </w:rPr>
        <w:t xml:space="preserve"> continuously identifies and reviews</w:t>
      </w:r>
      <w:r w:rsidRPr="00326237">
        <w:rPr>
          <w:sz w:val="28"/>
          <w:szCs w:val="28"/>
          <w:lang w:val="en-US"/>
        </w:rPr>
        <w:t xml:space="preserve"> consumers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needs to ensure its products meet these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needs. It aims to exceed customer expectations by adapting its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product portfolio to meet the changing needs of consumers. It is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this focus on its customers, teamed with product and marketing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innovation, that plays a key role in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success.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Every </w:t>
      </w:r>
      <w:proofErr w:type="spellStart"/>
      <w:r w:rsidRPr="00326237">
        <w:rPr>
          <w:sz w:val="28"/>
          <w:szCs w:val="28"/>
          <w:lang w:val="en-US"/>
        </w:rPr>
        <w:t>organisation</w:t>
      </w:r>
      <w:proofErr w:type="spellEnd"/>
      <w:r w:rsidRPr="00326237">
        <w:rPr>
          <w:sz w:val="28"/>
          <w:szCs w:val="28"/>
          <w:lang w:val="en-US"/>
        </w:rPr>
        <w:t xml:space="preserve"> must look at its marketing in relation to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marketing mix. The marketing mix, often referred to as the 4Ps, is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 means of assessing how to balance the elements of the mix in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order to meet customers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needs. The elements include: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0C5030">
        <w:rPr>
          <w:sz w:val="28"/>
          <w:szCs w:val="28"/>
        </w:rPr>
        <w:t>the</w:t>
      </w:r>
      <w:proofErr w:type="spellEnd"/>
      <w:r w:rsidRPr="000C5030">
        <w:rPr>
          <w:sz w:val="28"/>
          <w:szCs w:val="28"/>
        </w:rPr>
        <w:t xml:space="preserve"> </w:t>
      </w:r>
      <w:proofErr w:type="spellStart"/>
      <w:r w:rsidRPr="000C5030">
        <w:rPr>
          <w:sz w:val="28"/>
          <w:szCs w:val="28"/>
        </w:rPr>
        <w:t>right</w:t>
      </w:r>
      <w:proofErr w:type="spellEnd"/>
      <w:r w:rsidRPr="000C5030">
        <w:rPr>
          <w:sz w:val="28"/>
          <w:szCs w:val="28"/>
        </w:rPr>
        <w:t xml:space="preserve"> </w:t>
      </w:r>
      <w:proofErr w:type="spellStart"/>
      <w:r w:rsidRPr="000C5030">
        <w:rPr>
          <w:sz w:val="28"/>
          <w:szCs w:val="28"/>
        </w:rPr>
        <w:t>product</w:t>
      </w:r>
      <w:proofErr w:type="spellEnd"/>
      <w:r w:rsidRPr="000C5030">
        <w:rPr>
          <w:sz w:val="28"/>
          <w:szCs w:val="28"/>
          <w:lang w:val="en-US"/>
        </w:rPr>
        <w:t>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sold at the right price;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0C5030">
        <w:rPr>
          <w:sz w:val="28"/>
          <w:szCs w:val="28"/>
        </w:rPr>
        <w:t>in</w:t>
      </w:r>
      <w:proofErr w:type="spellEnd"/>
      <w:r w:rsidRPr="000C5030">
        <w:rPr>
          <w:sz w:val="28"/>
          <w:szCs w:val="28"/>
        </w:rPr>
        <w:t xml:space="preserve"> </w:t>
      </w:r>
      <w:proofErr w:type="spellStart"/>
      <w:r w:rsidRPr="000C5030">
        <w:rPr>
          <w:sz w:val="28"/>
          <w:szCs w:val="28"/>
        </w:rPr>
        <w:t>the</w:t>
      </w:r>
      <w:proofErr w:type="spellEnd"/>
      <w:r w:rsidRPr="000C5030">
        <w:rPr>
          <w:sz w:val="28"/>
          <w:szCs w:val="28"/>
        </w:rPr>
        <w:t xml:space="preserve"> </w:t>
      </w:r>
      <w:proofErr w:type="spellStart"/>
      <w:r w:rsidRPr="000C5030">
        <w:rPr>
          <w:sz w:val="28"/>
          <w:szCs w:val="28"/>
        </w:rPr>
        <w:t>right</w:t>
      </w:r>
      <w:proofErr w:type="spellEnd"/>
      <w:r w:rsidRPr="000C5030">
        <w:rPr>
          <w:sz w:val="28"/>
          <w:szCs w:val="28"/>
        </w:rPr>
        <w:t xml:space="preserve"> </w:t>
      </w:r>
      <w:proofErr w:type="spellStart"/>
      <w:r w:rsidRPr="000C5030">
        <w:rPr>
          <w:sz w:val="28"/>
          <w:szCs w:val="28"/>
        </w:rPr>
        <w:t>place</w:t>
      </w:r>
      <w:proofErr w:type="spellEnd"/>
      <w:r w:rsidRPr="000C5030">
        <w:rPr>
          <w:sz w:val="28"/>
          <w:szCs w:val="28"/>
          <w:lang w:val="en-US"/>
        </w:rPr>
        <w:t>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using the most suitable form of promotion.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No two businesses are identical, as such, every </w:t>
      </w:r>
      <w:proofErr w:type="spellStart"/>
      <w:r w:rsidRPr="00326237">
        <w:rPr>
          <w:sz w:val="28"/>
          <w:szCs w:val="28"/>
          <w:lang w:val="en-US"/>
        </w:rPr>
        <w:t>organisation</w:t>
      </w:r>
      <w:proofErr w:type="spellEnd"/>
      <w:r w:rsidRPr="00326237">
        <w:rPr>
          <w:sz w:val="28"/>
          <w:szCs w:val="28"/>
          <w:lang w:val="en-US"/>
        </w:rPr>
        <w:t xml:space="preserve"> must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decide on its own balance of the 4Ps to suit its consumers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needs.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There are many internal and external factors that will influence an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organisation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</w:t>
      </w:r>
      <w:proofErr w:type="spellEnd"/>
      <w:r w:rsidRPr="00326237">
        <w:rPr>
          <w:sz w:val="28"/>
          <w:szCs w:val="28"/>
          <w:lang w:val="en-US"/>
        </w:rPr>
        <w:t xml:space="preserve"> marketing mix. Key factors include the size of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business, the markets it operates in and available resources.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For a global </w:t>
      </w:r>
      <w:proofErr w:type="spellStart"/>
      <w:r w:rsidRPr="00326237">
        <w:rPr>
          <w:sz w:val="28"/>
          <w:szCs w:val="28"/>
          <w:lang w:val="en-US"/>
        </w:rPr>
        <w:t>organisation</w:t>
      </w:r>
      <w:proofErr w:type="spellEnd"/>
      <w:r w:rsidRPr="00326237">
        <w:rPr>
          <w:sz w:val="28"/>
          <w:szCs w:val="28"/>
          <w:lang w:val="en-US"/>
        </w:rPr>
        <w:t xml:space="preserve"> like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its marketing mix is tailored to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specific markets. This is known as international marketing as it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takes cultural and social differences into account when planning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marketing activity. Sports marketing is a key focus for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 xml:space="preserve">’ </w:t>
      </w:r>
      <w:r w:rsidRPr="00326237">
        <w:rPr>
          <w:sz w:val="28"/>
          <w:szCs w:val="28"/>
          <w:lang w:val="en-US"/>
        </w:rPr>
        <w:t>marketing mix. The growing popularity of sports as entertainment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has led to a huge increase in sports marketing. The founder of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was one of the first people to see the potential of this form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of marketing when he sponsored the FIFA World Cup back in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1978. Sponsorship involves a business paying to be associated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with another </w:t>
      </w:r>
      <w:proofErr w:type="spellStart"/>
      <w:r w:rsidRPr="00326237">
        <w:rPr>
          <w:sz w:val="28"/>
          <w:szCs w:val="28"/>
          <w:lang w:val="en-US"/>
        </w:rPr>
        <w:t>organisation</w:t>
      </w:r>
      <w:proofErr w:type="spellEnd"/>
      <w:r w:rsidRPr="00326237">
        <w:rPr>
          <w:sz w:val="28"/>
          <w:szCs w:val="28"/>
          <w:lang w:val="en-US"/>
        </w:rPr>
        <w:t xml:space="preserve">, event or TV </w:t>
      </w:r>
      <w:proofErr w:type="spellStart"/>
      <w:r w:rsidRPr="00326237">
        <w:rPr>
          <w:sz w:val="28"/>
          <w:szCs w:val="28"/>
          <w:lang w:val="en-US"/>
        </w:rPr>
        <w:t>programme</w:t>
      </w:r>
      <w:proofErr w:type="spellEnd"/>
      <w:r w:rsidRPr="00326237">
        <w:rPr>
          <w:sz w:val="28"/>
          <w:szCs w:val="28"/>
          <w:lang w:val="en-US"/>
        </w:rPr>
        <w:t xml:space="preserve">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Like many new developments, the sports marketing function has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changed dramatically since its introduction. Just consider Sony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first ever Walkman in 1979 to today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 iPod. The same dramatic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difference is evident in the sports marketing arena with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sponsorship deals now worth tens of millions of pounds. Rather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than simply trying to gain positive associations with particular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sports, companies use sports marketing to drive the brand and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increase sales. </w:t>
      </w:r>
    </w:p>
    <w:p w:rsidR="00CD3B79" w:rsidRPr="00BF6244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en-US"/>
        </w:rPr>
      </w:pPr>
      <w:r w:rsidRPr="00BF6244">
        <w:rPr>
          <w:b/>
          <w:i/>
          <w:sz w:val="28"/>
          <w:szCs w:val="28"/>
          <w:lang w:val="en-US"/>
        </w:rPr>
        <w:t>Marketing strategies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Within the marketing function of any </w:t>
      </w:r>
      <w:proofErr w:type="spellStart"/>
      <w:r w:rsidRPr="00326237">
        <w:rPr>
          <w:sz w:val="28"/>
          <w:szCs w:val="28"/>
          <w:lang w:val="en-US"/>
        </w:rPr>
        <w:t>organisation</w:t>
      </w:r>
      <w:proofErr w:type="spellEnd"/>
      <w:r w:rsidRPr="00326237">
        <w:rPr>
          <w:sz w:val="28"/>
          <w:szCs w:val="28"/>
          <w:lang w:val="en-US"/>
        </w:rPr>
        <w:t xml:space="preserve"> there will be key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goals, or objectives, to be achieved. For example, increasing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market share by 3% or entering a new market overseas. To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achieve these marketing objectives requires a plan that details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actions needed. These plans are referred to as marketing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lastRenderedPageBreak/>
        <w:t xml:space="preserve">strategies. A key challenge for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marketing strategies is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finding innovative ways to inspire and engage its 14-</w:t>
      </w:r>
      <w:proofErr w:type="gramStart"/>
      <w:r w:rsidRPr="00326237">
        <w:rPr>
          <w:sz w:val="28"/>
          <w:szCs w:val="28"/>
          <w:lang w:val="en-US"/>
        </w:rPr>
        <w:t>19 year old</w:t>
      </w:r>
      <w:proofErr w:type="gramEnd"/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target audience.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For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London</w:t>
          </w:r>
        </w:smartTag>
      </w:smartTag>
      <w:r w:rsidRPr="00326237">
        <w:rPr>
          <w:sz w:val="28"/>
          <w:szCs w:val="28"/>
          <w:lang w:val="en-US"/>
        </w:rPr>
        <w:t xml:space="preserve"> is a key focus for the sportswear market, for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both performance sportswear and sports fashion. This market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sets more trends than anywhere else in the country. London 2012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gave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a platform to target this audience but with a global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reach. The sponsorship deal obtained by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was the broadest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set of sportswear rights in Olympic history. It became the Official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Sportswear Partner of the London Games and the exclusive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licensee of all branded (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+ London 2012) and event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branded (London 2012 only) clothing. From these rights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set four key marketing objectives: 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to ensure a clear association as Sportswear Partner of London 2012, Team GB and Paralympics GB;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to engage and excite the 14-</w:t>
      </w:r>
      <w:proofErr w:type="gramStart"/>
      <w:r w:rsidRPr="000C5030">
        <w:rPr>
          <w:sz w:val="28"/>
          <w:szCs w:val="28"/>
          <w:lang w:val="en-US"/>
        </w:rPr>
        <w:t>19 year old</w:t>
      </w:r>
      <w:proofErr w:type="gramEnd"/>
      <w:r w:rsidRPr="000C5030">
        <w:rPr>
          <w:sz w:val="28"/>
          <w:szCs w:val="28"/>
          <w:lang w:val="en-US"/>
        </w:rPr>
        <w:t xml:space="preserve"> audience in order to drive brand preference in the UK;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to deliver a Licensed Product Return on Investment (ROI) (branded and event branded licensee rights);</w:t>
      </w:r>
    </w:p>
    <w:p w:rsidR="00CD3B79" w:rsidRPr="000C5030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0C5030">
        <w:rPr>
          <w:sz w:val="28"/>
          <w:szCs w:val="28"/>
          <w:lang w:val="en-US"/>
        </w:rPr>
        <w:t>to become the most talked about sports brand in 2012.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A major aspect of this sponsorship deal was the athletes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kit. The kit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provided the opportunity to be innovative and excite the target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audience whilst creating products to meet commercial sales targets.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Market research undertaken by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showed the youth audience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wanted something </w:t>
      </w:r>
      <w:r>
        <w:rPr>
          <w:sz w:val="28"/>
          <w:szCs w:val="28"/>
          <w:lang w:val="uk-UA"/>
        </w:rPr>
        <w:t>«</w:t>
      </w:r>
      <w:r w:rsidRPr="00326237">
        <w:rPr>
          <w:sz w:val="28"/>
          <w:szCs w:val="28"/>
          <w:lang w:val="en-US"/>
        </w:rPr>
        <w:t>untraditionally British</w:t>
      </w:r>
      <w:r>
        <w:rPr>
          <w:sz w:val="28"/>
          <w:szCs w:val="28"/>
          <w:lang w:val="uk-UA"/>
        </w:rPr>
        <w:t>»</w:t>
      </w:r>
      <w:r w:rsidRPr="00326237">
        <w:rPr>
          <w:sz w:val="28"/>
          <w:szCs w:val="28"/>
          <w:lang w:val="en-US"/>
        </w:rPr>
        <w:t>. Designer Stella McCartney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fulfilled this brief with her deconstructed union flag design.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Preparations to equip the team started 2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1/2 years before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Games were due to start. Over 550 athletes were fitted for over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680 items of kit. This meant the marketing activity for the campaign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also started long before the Games in </w:t>
      </w:r>
      <w:smartTag w:uri="urn:schemas-microsoft-com:office:smarttags" w:element="metricconverter">
        <w:smartTagPr>
          <w:attr w:name="ProductID" w:val="2012. A"/>
        </w:smartTagPr>
        <w:r w:rsidRPr="00326237">
          <w:rPr>
            <w:sz w:val="28"/>
            <w:szCs w:val="28"/>
            <w:lang w:val="en-US"/>
          </w:rPr>
          <w:t>2012. A</w:t>
        </w:r>
      </w:smartTag>
      <w:r w:rsidRPr="00326237">
        <w:rPr>
          <w:sz w:val="28"/>
          <w:szCs w:val="28"/>
          <w:lang w:val="en-US"/>
        </w:rPr>
        <w:t xml:space="preserve"> photo booth shoot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captured every athlete in their kit. These images were used to create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excitement around the Team GB kit product launch. </w:t>
      </w:r>
    </w:p>
    <w:p w:rsidR="00CD3B79" w:rsidRPr="00BF6244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en-US"/>
        </w:rPr>
      </w:pPr>
      <w:r w:rsidRPr="00BF6244">
        <w:rPr>
          <w:b/>
          <w:i/>
          <w:sz w:val="28"/>
          <w:szCs w:val="28"/>
          <w:lang w:val="en-US"/>
        </w:rPr>
        <w:t>Promotion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All elements of the marketing mix are important. However, in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increasingly competitive markets innovative methods of promotion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can create a competitive advantage. Promotional activity is used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to communicate with consumers about the brand and its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products. As there were more than 50 London 2012 sponsors,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needed to ensure it communicated the right messages, at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the right time, through the appropriate channels for its target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audience. It aimed to create national support for Team GB through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its </w:t>
      </w:r>
      <w:r>
        <w:rPr>
          <w:sz w:val="28"/>
          <w:szCs w:val="28"/>
          <w:lang w:val="uk-UA"/>
        </w:rPr>
        <w:t>«</w:t>
      </w:r>
      <w:r w:rsidRPr="00326237">
        <w:rPr>
          <w:sz w:val="28"/>
          <w:szCs w:val="28"/>
          <w:lang w:val="en-US"/>
        </w:rPr>
        <w:t>Take the Stage</w:t>
      </w:r>
      <w:r>
        <w:rPr>
          <w:sz w:val="28"/>
          <w:szCs w:val="28"/>
          <w:lang w:val="uk-UA"/>
        </w:rPr>
        <w:t>»</w:t>
      </w:r>
      <w:r w:rsidRPr="00326237">
        <w:rPr>
          <w:sz w:val="28"/>
          <w:szCs w:val="28"/>
          <w:lang w:val="en-US"/>
        </w:rPr>
        <w:t xml:space="preserve"> campaign.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The acronym AIDA is useful when planning promotional activity,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promotion should aim to: </w:t>
      </w:r>
    </w:p>
    <w:p w:rsidR="00CD3B79" w:rsidRPr="00907D43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907D43">
        <w:rPr>
          <w:sz w:val="28"/>
          <w:szCs w:val="28"/>
        </w:rPr>
        <w:t>initiate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i/>
          <w:sz w:val="28"/>
          <w:szCs w:val="28"/>
        </w:rPr>
        <w:t>awareness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amongst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consumers</w:t>
      </w:r>
      <w:proofErr w:type="spellEnd"/>
      <w:r w:rsidRPr="00907D43">
        <w:rPr>
          <w:sz w:val="28"/>
          <w:szCs w:val="28"/>
          <w:lang w:val="en-US"/>
        </w:rPr>
        <w:t>;</w:t>
      </w:r>
    </w:p>
    <w:p w:rsidR="00CD3B79" w:rsidRPr="00907D43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  <w:lang w:val="en-US"/>
        </w:rPr>
      </w:pPr>
      <w:r w:rsidRPr="00907D43">
        <w:rPr>
          <w:sz w:val="28"/>
          <w:szCs w:val="28"/>
          <w:lang w:val="en-US"/>
        </w:rPr>
        <w:t xml:space="preserve">generate </w:t>
      </w:r>
      <w:r w:rsidRPr="00907D43">
        <w:rPr>
          <w:i/>
          <w:sz w:val="28"/>
          <w:szCs w:val="28"/>
          <w:lang w:val="en-US"/>
        </w:rPr>
        <w:t>interest</w:t>
      </w:r>
      <w:r w:rsidRPr="00907D43">
        <w:rPr>
          <w:sz w:val="28"/>
          <w:szCs w:val="28"/>
          <w:lang w:val="en-US"/>
        </w:rPr>
        <w:t xml:space="preserve"> for and </w:t>
      </w:r>
      <w:r w:rsidRPr="00907D43">
        <w:rPr>
          <w:i/>
          <w:sz w:val="28"/>
          <w:szCs w:val="28"/>
          <w:lang w:val="en-US"/>
        </w:rPr>
        <w:t>desire</w:t>
      </w:r>
      <w:r w:rsidRPr="00907D43">
        <w:rPr>
          <w:sz w:val="28"/>
          <w:szCs w:val="28"/>
          <w:lang w:val="en-US"/>
        </w:rPr>
        <w:t xml:space="preserve"> to have the product;</w:t>
      </w:r>
    </w:p>
    <w:p w:rsidR="00CD3B79" w:rsidRPr="00907D43" w:rsidRDefault="00CD3B79" w:rsidP="00CD3B7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907D43">
        <w:rPr>
          <w:sz w:val="28"/>
          <w:szCs w:val="28"/>
        </w:rPr>
        <w:t>ensure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i/>
          <w:sz w:val="28"/>
          <w:szCs w:val="28"/>
        </w:rPr>
        <w:t>action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to</w:t>
      </w:r>
      <w:proofErr w:type="spellEnd"/>
      <w:r w:rsidRPr="00907D43">
        <w:rPr>
          <w:sz w:val="28"/>
          <w:szCs w:val="28"/>
        </w:rPr>
        <w:t xml:space="preserve"> </w:t>
      </w:r>
      <w:proofErr w:type="spellStart"/>
      <w:r w:rsidRPr="00907D43">
        <w:rPr>
          <w:sz w:val="28"/>
          <w:szCs w:val="28"/>
        </w:rPr>
        <w:t>purchase</w:t>
      </w:r>
      <w:proofErr w:type="spellEnd"/>
      <w:r w:rsidRPr="00907D43">
        <w:rPr>
          <w:sz w:val="28"/>
          <w:szCs w:val="28"/>
        </w:rPr>
        <w:t>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There are many different methods of promotion. Above-the-line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promotion refers to traditional methods of advertising, such as,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print adverts in magazines </w:t>
      </w:r>
      <w:r w:rsidRPr="00326237">
        <w:rPr>
          <w:sz w:val="28"/>
          <w:szCs w:val="28"/>
          <w:lang w:val="en-US"/>
        </w:rPr>
        <w:lastRenderedPageBreak/>
        <w:t>and newspapers, billboards or online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and TV advertisements. This form of promotion is expensive. As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mass audiences become harder to reach through advertising, for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example, an increasing number of people record TV and </w:t>
      </w:r>
      <w:proofErr w:type="spellStart"/>
      <w:r w:rsidRPr="00326237">
        <w:rPr>
          <w:sz w:val="28"/>
          <w:szCs w:val="28"/>
          <w:lang w:val="en-US"/>
        </w:rPr>
        <w:t>fastforward</w:t>
      </w:r>
      <w:proofErr w:type="spellEnd"/>
      <w:r w:rsidRPr="00326237">
        <w:rPr>
          <w:sz w:val="28"/>
          <w:szCs w:val="28"/>
          <w:lang w:val="en-US"/>
        </w:rPr>
        <w:t xml:space="preserve"> the adverts, innovative methods of below-the-line activity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is becoming increasingly important to engage the audience.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Above-the-line activity for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campaign included TV adverts that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showcased the best </w:t>
      </w:r>
      <w:smartTag w:uri="urn:schemas-microsoft-com:office:smarttags" w:element="country-region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UK</w:t>
          </w:r>
        </w:smartTag>
      </w:smartTag>
      <w:r w:rsidRPr="00326237">
        <w:rPr>
          <w:sz w:val="28"/>
          <w:szCs w:val="28"/>
          <w:lang w:val="en-US"/>
        </w:rPr>
        <w:t xml:space="preserve"> talent across sport, street and style.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adverts contained carefully planned product placement. Amongst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those featured were David Beckham, Wretch 32 and Derrick Rose.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In addition to a significant outdoor media spend,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featured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artist impressions of athletes on 17 London Metro front pages.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TV adverts featuring athletes such as Jessica Ennis and Tom Daley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were used to rally support for Team GB. In these adverts athletes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shared their intimate goals, fears and thoughts, something which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was dramatically different to other sponsors of London 2012.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In contrast, below-the-line promotion aims to reach more targeted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groups of consumers. For example, through sponsorship deals,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direct marketing, public relations and social media. Below-the-line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promotion targeted at the youth audience was a key method for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to achieve its marketing objectives. It used a wide range of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promotional activities to create deeper engagement with its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audience, mixing traditional media with an innovative use of social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and digital channels. The scale of the activation of this campaign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was an industry first. 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Its TV adverts aimed to drive consumers to a website where they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could demonstrate their talents for a chance to meet their idols.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Through </w:t>
      </w:r>
      <w:r>
        <w:rPr>
          <w:sz w:val="28"/>
          <w:szCs w:val="28"/>
          <w:lang w:val="uk-UA"/>
        </w:rPr>
        <w:t>«</w:t>
      </w:r>
      <w:r w:rsidRPr="00326237">
        <w:rPr>
          <w:sz w:val="28"/>
          <w:szCs w:val="28"/>
          <w:lang w:val="en-US"/>
        </w:rPr>
        <w:t>Project 32</w:t>
      </w:r>
      <w:r>
        <w:rPr>
          <w:sz w:val="28"/>
          <w:szCs w:val="28"/>
          <w:lang w:val="uk-UA"/>
        </w:rPr>
        <w:t>»</w:t>
      </w:r>
      <w:r w:rsidRPr="00326237">
        <w:rPr>
          <w:sz w:val="28"/>
          <w:szCs w:val="28"/>
          <w:lang w:val="en-US"/>
        </w:rPr>
        <w:t xml:space="preserve">,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had already rewarded 32 talented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youngsters in London with the chance to meet leaders in their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chosen fields, such as the sporting and musical industry, giving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undiscovered talent the chance to </w:t>
      </w:r>
      <w:r>
        <w:rPr>
          <w:sz w:val="28"/>
          <w:szCs w:val="28"/>
          <w:lang w:val="uk-UA"/>
        </w:rPr>
        <w:t>«</w:t>
      </w:r>
      <w:r w:rsidRPr="00326237">
        <w:rPr>
          <w:sz w:val="28"/>
          <w:szCs w:val="28"/>
          <w:lang w:val="en-US"/>
        </w:rPr>
        <w:t>Take the Stage</w:t>
      </w:r>
      <w:r>
        <w:rPr>
          <w:sz w:val="28"/>
          <w:szCs w:val="28"/>
          <w:lang w:val="uk-UA"/>
        </w:rPr>
        <w:t>»</w:t>
      </w:r>
      <w:r w:rsidRPr="00326237">
        <w:rPr>
          <w:sz w:val="28"/>
          <w:szCs w:val="28"/>
          <w:lang w:val="en-US"/>
        </w:rPr>
        <w:t xml:space="preserve">. 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uk-UA"/>
        </w:rPr>
      </w:pPr>
      <w:r w:rsidRPr="00326237">
        <w:rPr>
          <w:sz w:val="28"/>
          <w:szCs w:val="28"/>
          <w:lang w:val="en-US"/>
        </w:rPr>
        <w:t xml:space="preserve">Social media played an integral part in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campaign. For example,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on Twitter #</w:t>
      </w:r>
      <w:proofErr w:type="spellStart"/>
      <w:r w:rsidRPr="00326237">
        <w:rPr>
          <w:sz w:val="28"/>
          <w:szCs w:val="28"/>
          <w:lang w:val="en-US"/>
        </w:rPr>
        <w:t>takethestage</w:t>
      </w:r>
      <w:proofErr w:type="spellEnd"/>
      <w:r w:rsidRPr="00326237">
        <w:rPr>
          <w:sz w:val="28"/>
          <w:szCs w:val="28"/>
          <w:lang w:val="en-US"/>
        </w:rPr>
        <w:t xml:space="preserve"> became the summer trend for supporting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Team GB. Videos on YouTube created hundreds of millions of views,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including a video of Team GB athletes singing along to Queen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s </w:t>
      </w:r>
      <w:r>
        <w:rPr>
          <w:sz w:val="28"/>
          <w:szCs w:val="28"/>
          <w:lang w:val="uk-UA"/>
        </w:rPr>
        <w:t>«</w:t>
      </w:r>
      <w:r w:rsidRPr="00326237">
        <w:rPr>
          <w:sz w:val="28"/>
          <w:szCs w:val="28"/>
          <w:lang w:val="en-US"/>
        </w:rPr>
        <w:t>Don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stop me now</w:t>
      </w:r>
      <w:r>
        <w:rPr>
          <w:sz w:val="28"/>
          <w:szCs w:val="28"/>
          <w:lang w:val="uk-UA"/>
        </w:rPr>
        <w:t>»</w:t>
      </w:r>
      <w:r w:rsidRPr="00326237">
        <w:rPr>
          <w:sz w:val="28"/>
          <w:szCs w:val="28"/>
          <w:lang w:val="en-US"/>
        </w:rPr>
        <w:t xml:space="preserve">. In addition, a large photo booth was set up at </w:t>
      </w:r>
      <w:smartTag w:uri="urn:schemas-microsoft-com:office:smarttags" w:element="City">
        <w:r w:rsidRPr="00326237">
          <w:rPr>
            <w:sz w:val="28"/>
            <w:szCs w:val="28"/>
            <w:lang w:val="en-US"/>
          </w:rPr>
          <w:t>Westfield</w:t>
        </w:r>
      </w:smartTag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shopping </w:t>
      </w:r>
      <w:proofErr w:type="spellStart"/>
      <w:r w:rsidRPr="00326237">
        <w:rPr>
          <w:sz w:val="28"/>
          <w:szCs w:val="28"/>
          <w:lang w:val="en-US"/>
        </w:rPr>
        <w:t>centre</w:t>
      </w:r>
      <w:proofErr w:type="spellEnd"/>
      <w:r w:rsidRPr="00326237">
        <w:rPr>
          <w:sz w:val="28"/>
          <w:szCs w:val="28"/>
          <w:lang w:val="en-US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Stratford</w:t>
          </w:r>
        </w:smartTag>
      </w:smartTag>
      <w:r w:rsidRPr="00326237">
        <w:rPr>
          <w:sz w:val="28"/>
          <w:szCs w:val="28"/>
          <w:lang w:val="en-US"/>
        </w:rPr>
        <w:t>. Members of the public then entered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booth to show support for Team GB. Videos of peoples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reactions to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David Beckham making a surprise appearance received 3.2 million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views, as well as international TV coverage. </w:t>
      </w:r>
    </w:p>
    <w:p w:rsidR="00CD3B79" w:rsidRPr="00BF6244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en-US"/>
        </w:rPr>
      </w:pPr>
      <w:r w:rsidRPr="00BF6244">
        <w:rPr>
          <w:b/>
          <w:i/>
          <w:sz w:val="28"/>
          <w:szCs w:val="28"/>
          <w:lang w:val="en-US"/>
        </w:rPr>
        <w:t>Measuring a promotional campaign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uk-UA"/>
        </w:rPr>
      </w:pPr>
      <w:r w:rsidRPr="00326237">
        <w:rPr>
          <w:sz w:val="28"/>
          <w:szCs w:val="28"/>
          <w:lang w:val="en-US"/>
        </w:rPr>
        <w:t xml:space="preserve">Promotional activity is very expensive. </w:t>
      </w:r>
      <w:proofErr w:type="spellStart"/>
      <w:r w:rsidRPr="00326237">
        <w:rPr>
          <w:sz w:val="28"/>
          <w:szCs w:val="28"/>
          <w:lang w:val="en-US"/>
        </w:rPr>
        <w:t>Organisations</w:t>
      </w:r>
      <w:proofErr w:type="spellEnd"/>
      <w:r w:rsidRPr="00326237">
        <w:rPr>
          <w:sz w:val="28"/>
          <w:szCs w:val="28"/>
          <w:lang w:val="en-US"/>
        </w:rPr>
        <w:t xml:space="preserve"> want to see a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return on investment (ROI) for the money they spend on a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promotional campaign. Sponsorship of London 2012 was no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exception. Every aspect of its promotional campaign, both online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and offline, was continuously monitored and measured. This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enabled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to demonstrate that becoming the Official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Sportswear Partner of the London Games and the exclusive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licensee of all branded (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+ London 2012) and event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branded (London 2012 only) apparel was cost effective.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uk-UA"/>
        </w:rPr>
      </w:pPr>
      <w:r w:rsidRPr="00326237">
        <w:rPr>
          <w:sz w:val="28"/>
          <w:szCs w:val="28"/>
          <w:lang w:val="en-US"/>
        </w:rPr>
        <w:lastRenderedPageBreak/>
        <w:t xml:space="preserve">Throughout the campaign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monitored all of its media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coverage. This data was then used to establish whether the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marketing objectives had been achieved. The table below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demonstrates the significant return achieved through this campaign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and how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successfully achieved its marketing objectives.</w:t>
      </w:r>
    </w:p>
    <w:p w:rsidR="00CD3B79" w:rsidRPr="0057519E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uk-UA"/>
        </w:rPr>
      </w:pPr>
    </w:p>
    <w:p w:rsidR="00CD3B79" w:rsidRPr="000C5030" w:rsidRDefault="00CD3B79" w:rsidP="00CD3B79">
      <w:pPr>
        <w:shd w:val="clear" w:color="auto" w:fill="FFFFFF"/>
        <w:ind w:left="15" w:firstLine="694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Table 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>1</w:t>
      </w:r>
    </w:p>
    <w:p w:rsidR="00CD3B79" w:rsidRPr="00C23F2B" w:rsidRDefault="00CD3B79" w:rsidP="00CD3B79">
      <w:pPr>
        <w:shd w:val="clear" w:color="auto" w:fill="FFFFFF"/>
        <w:ind w:left="15" w:firstLine="694"/>
        <w:jc w:val="center"/>
        <w:rPr>
          <w:sz w:val="28"/>
          <w:szCs w:val="28"/>
          <w:lang w:val="en-US"/>
        </w:rPr>
      </w:pPr>
      <w:r w:rsidRPr="00C23F2B">
        <w:rPr>
          <w:sz w:val="28"/>
          <w:szCs w:val="28"/>
          <w:lang w:val="en-US"/>
        </w:rPr>
        <w:t>Measuring a promotional campaign</w:t>
      </w:r>
    </w:p>
    <w:tbl>
      <w:tblPr>
        <w:tblW w:w="973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6945"/>
      </w:tblGrid>
      <w:tr w:rsidR="00CD3B79" w:rsidRPr="00C23F2B" w:rsidTr="00F844A9">
        <w:tc>
          <w:tcPr>
            <w:tcW w:w="2787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Marketing objective</w:t>
            </w:r>
          </w:p>
        </w:tc>
        <w:tc>
          <w:tcPr>
            <w:tcW w:w="6945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Measurement</w:t>
            </w:r>
          </w:p>
        </w:tc>
      </w:tr>
      <w:tr w:rsidR="00CD3B79" w:rsidRPr="00CD3B79" w:rsidTr="00F844A9">
        <w:tc>
          <w:tcPr>
            <w:tcW w:w="2787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Ensure a clear association as Sportswear Partner of London 2012, Team GB and Paralympics GB</w:t>
            </w:r>
          </w:p>
        </w:tc>
        <w:tc>
          <w:tcPr>
            <w:tcW w:w="6945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 xml:space="preserve">• </w:t>
            </w:r>
            <w:proofErr w:type="spellStart"/>
            <w:r w:rsidRPr="00C23F2B">
              <w:rPr>
                <w:szCs w:val="24"/>
                <w:lang w:val="en-US"/>
              </w:rPr>
              <w:t>adidas</w:t>
            </w:r>
            <w:proofErr w:type="spellEnd"/>
            <w:r w:rsidRPr="00C23F2B">
              <w:rPr>
                <w:szCs w:val="24"/>
                <w:lang w:val="en-US"/>
              </w:rPr>
              <w:t xml:space="preserve"> generated the highest number of articles amongst local sponsors (ranked 3rd behind McDonalds &amp; Coca-Cola)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• 44% of 16-24 year olds were aware of the sponsorship (</w:t>
            </w:r>
            <w:proofErr w:type="spellStart"/>
            <w:r w:rsidRPr="00C23F2B">
              <w:rPr>
                <w:szCs w:val="24"/>
                <w:lang w:val="en-US"/>
              </w:rPr>
              <w:t>adidas</w:t>
            </w:r>
            <w:proofErr w:type="spellEnd"/>
            <w:r>
              <w:rPr>
                <w:szCs w:val="24"/>
                <w:lang w:val="en-US"/>
              </w:rPr>
              <w:t>’</w:t>
            </w:r>
            <w:r w:rsidRPr="00C23F2B">
              <w:rPr>
                <w:szCs w:val="24"/>
                <w:lang w:val="en-US"/>
              </w:rPr>
              <w:t xml:space="preserve"> closest competitor achieved 16%)</w:t>
            </w:r>
          </w:p>
        </w:tc>
      </w:tr>
      <w:tr w:rsidR="00CD3B79" w:rsidRPr="00CD3B79" w:rsidTr="00F844A9">
        <w:tc>
          <w:tcPr>
            <w:tcW w:w="2787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Engage and excite the 14-19 year old audience in order to drive brand preference in the UK</w:t>
            </w:r>
          </w:p>
        </w:tc>
        <w:tc>
          <w:tcPr>
            <w:tcW w:w="6945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 xml:space="preserve">• </w:t>
            </w:r>
            <w:proofErr w:type="spellStart"/>
            <w:r w:rsidRPr="00C23F2B">
              <w:rPr>
                <w:szCs w:val="24"/>
                <w:lang w:val="en-US"/>
              </w:rPr>
              <w:t>YouGov</w:t>
            </w:r>
            <w:proofErr w:type="spellEnd"/>
            <w:r w:rsidRPr="00C23F2B">
              <w:rPr>
                <w:szCs w:val="24"/>
                <w:lang w:val="en-US"/>
              </w:rPr>
              <w:t xml:space="preserve"> (a measure of public opinion) score increased from 4.2 to 16.5 during the Games</w:t>
            </w:r>
          </w:p>
          <w:p w:rsidR="00CD3B79" w:rsidRPr="0073746D" w:rsidRDefault="00CD3B79" w:rsidP="00F844A9">
            <w:pPr>
              <w:jc w:val="both"/>
              <w:rPr>
                <w:szCs w:val="24"/>
                <w:lang w:val="uk-UA"/>
              </w:rPr>
            </w:pPr>
            <w:r w:rsidRPr="00C23F2B">
              <w:rPr>
                <w:szCs w:val="24"/>
                <w:lang w:val="en-US"/>
              </w:rPr>
              <w:t xml:space="preserve">• </w:t>
            </w:r>
            <w:proofErr w:type="spellStart"/>
            <w:r w:rsidRPr="00C23F2B">
              <w:rPr>
                <w:szCs w:val="24"/>
                <w:lang w:val="en-US"/>
              </w:rPr>
              <w:t>adidas</w:t>
            </w:r>
            <w:proofErr w:type="spellEnd"/>
            <w:r w:rsidRPr="00C23F2B">
              <w:rPr>
                <w:szCs w:val="24"/>
                <w:lang w:val="en-US"/>
              </w:rPr>
              <w:t xml:space="preserve"> ranked #1 by London 2012 Nielsen audience tracking for categories </w:t>
            </w:r>
            <w:r>
              <w:rPr>
                <w:szCs w:val="24"/>
                <w:lang w:val="uk-UA"/>
              </w:rPr>
              <w:t>«</w:t>
            </w:r>
            <w:r w:rsidRPr="00C23F2B">
              <w:rPr>
                <w:szCs w:val="24"/>
                <w:lang w:val="en-US"/>
              </w:rPr>
              <w:t>inspiring</w:t>
            </w:r>
            <w:r>
              <w:rPr>
                <w:szCs w:val="24"/>
                <w:lang w:val="uk-UA"/>
              </w:rPr>
              <w:t>»</w:t>
            </w:r>
            <w:r w:rsidRPr="00C23F2B">
              <w:rPr>
                <w:szCs w:val="24"/>
                <w:lang w:val="en-US"/>
              </w:rPr>
              <w:t xml:space="preserve"> and </w:t>
            </w:r>
            <w:r>
              <w:rPr>
                <w:szCs w:val="24"/>
                <w:lang w:val="uk-UA"/>
              </w:rPr>
              <w:t>«</w:t>
            </w:r>
            <w:r w:rsidRPr="00C23F2B">
              <w:rPr>
                <w:szCs w:val="24"/>
                <w:lang w:val="en-US"/>
              </w:rPr>
              <w:t>empowering</w:t>
            </w:r>
            <w:r>
              <w:rPr>
                <w:szCs w:val="24"/>
                <w:lang w:val="uk-UA"/>
              </w:rPr>
              <w:t>»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 xml:space="preserve">• </w:t>
            </w:r>
            <w:proofErr w:type="spellStart"/>
            <w:r w:rsidRPr="00C23F2B">
              <w:rPr>
                <w:szCs w:val="24"/>
                <w:lang w:val="en-US"/>
              </w:rPr>
              <w:t>adidas</w:t>
            </w:r>
            <w:proofErr w:type="spellEnd"/>
            <w:r>
              <w:rPr>
                <w:szCs w:val="24"/>
                <w:lang w:val="en-US"/>
              </w:rPr>
              <w:t>’</w:t>
            </w:r>
            <w:r w:rsidRPr="00C23F2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uk-UA"/>
              </w:rPr>
              <w:t>«</w:t>
            </w:r>
            <w:r w:rsidRPr="00C23F2B">
              <w:rPr>
                <w:szCs w:val="24"/>
                <w:lang w:val="en-US"/>
              </w:rPr>
              <w:t>Don</w:t>
            </w:r>
            <w:r>
              <w:rPr>
                <w:szCs w:val="24"/>
                <w:lang w:val="en-US"/>
              </w:rPr>
              <w:t>’</w:t>
            </w:r>
            <w:r w:rsidRPr="00C23F2B">
              <w:rPr>
                <w:szCs w:val="24"/>
                <w:lang w:val="en-US"/>
              </w:rPr>
              <w:t>t stop me now</w:t>
            </w:r>
            <w:r>
              <w:rPr>
                <w:szCs w:val="24"/>
                <w:lang w:val="uk-UA"/>
              </w:rPr>
              <w:t>»</w:t>
            </w:r>
            <w:r w:rsidRPr="00C23F2B">
              <w:rPr>
                <w:szCs w:val="24"/>
                <w:lang w:val="en-US"/>
              </w:rPr>
              <w:t xml:space="preserve"> video was the most viewed video on www.bbc.co.uk during the Games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• 8 million views of #</w:t>
            </w:r>
            <w:proofErr w:type="spellStart"/>
            <w:r w:rsidRPr="00C23F2B">
              <w:rPr>
                <w:szCs w:val="24"/>
                <w:lang w:val="en-US"/>
              </w:rPr>
              <w:t>takethestage</w:t>
            </w:r>
            <w:proofErr w:type="spellEnd"/>
            <w:r w:rsidRPr="00C23F2B">
              <w:rPr>
                <w:szCs w:val="24"/>
                <w:lang w:val="en-US"/>
              </w:rPr>
              <w:t xml:space="preserve"> content on YouTube with 2.5 million views from 14-24 year olds</w:t>
            </w:r>
          </w:p>
        </w:tc>
      </w:tr>
      <w:tr w:rsidR="00CD3B79" w:rsidRPr="00CD3B79" w:rsidTr="00F844A9">
        <w:tc>
          <w:tcPr>
            <w:tcW w:w="2787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Deliver a licensed product ROI (branded and event branded licensee rights)</w:t>
            </w:r>
          </w:p>
        </w:tc>
        <w:tc>
          <w:tcPr>
            <w:tcW w:w="6945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 xml:space="preserve">• 2% market share growth 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 xml:space="preserve">• 100 million total licensed product sales in 2012 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 xml:space="preserve">• More sales at </w:t>
            </w:r>
            <w:proofErr w:type="spellStart"/>
            <w:r w:rsidRPr="00C23F2B">
              <w:rPr>
                <w:szCs w:val="24"/>
                <w:lang w:val="en-US"/>
              </w:rPr>
              <w:t>adidas</w:t>
            </w:r>
            <w:proofErr w:type="spellEnd"/>
            <w:r>
              <w:rPr>
                <w:szCs w:val="24"/>
                <w:lang w:val="en-US"/>
              </w:rPr>
              <w:t>’</w:t>
            </w:r>
            <w:r w:rsidRPr="00C23F2B">
              <w:rPr>
                <w:szCs w:val="24"/>
                <w:lang w:val="en-US"/>
              </w:rPr>
              <w:t xml:space="preserve"> Oxford Street store in London in 1 week than any other </w:t>
            </w:r>
            <w:proofErr w:type="spellStart"/>
            <w:r w:rsidRPr="00C23F2B">
              <w:rPr>
                <w:szCs w:val="24"/>
                <w:lang w:val="en-US"/>
              </w:rPr>
              <w:t>adidas</w:t>
            </w:r>
            <w:proofErr w:type="spellEnd"/>
            <w:r w:rsidRPr="00C23F2B">
              <w:rPr>
                <w:szCs w:val="24"/>
                <w:lang w:val="en-US"/>
              </w:rPr>
              <w:t xml:space="preserve"> store ever</w:t>
            </w:r>
          </w:p>
        </w:tc>
      </w:tr>
      <w:tr w:rsidR="00CD3B79" w:rsidRPr="00CD3B79" w:rsidTr="00F844A9">
        <w:tc>
          <w:tcPr>
            <w:tcW w:w="2787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Become the most talked about sports brand in 2012</w:t>
            </w:r>
          </w:p>
        </w:tc>
        <w:tc>
          <w:tcPr>
            <w:tcW w:w="6945" w:type="dxa"/>
            <w:shd w:val="clear" w:color="auto" w:fill="auto"/>
          </w:tcPr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• Increased Twitter followers by 25%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• 32% share of sponsor traffic on Twitter</w:t>
            </w:r>
          </w:p>
          <w:p w:rsidR="00CD3B79" w:rsidRPr="00C23F2B" w:rsidRDefault="00CD3B79" w:rsidP="00F844A9">
            <w:pPr>
              <w:jc w:val="both"/>
              <w:rPr>
                <w:szCs w:val="24"/>
                <w:lang w:val="en-US"/>
              </w:rPr>
            </w:pPr>
            <w:r w:rsidRPr="00C23F2B">
              <w:rPr>
                <w:szCs w:val="24"/>
                <w:lang w:val="en-US"/>
              </w:rPr>
              <w:t>• 128 million Twitter impressions respectively for #</w:t>
            </w:r>
            <w:proofErr w:type="spellStart"/>
            <w:r w:rsidRPr="00C23F2B">
              <w:rPr>
                <w:szCs w:val="24"/>
                <w:lang w:val="en-US"/>
              </w:rPr>
              <w:t>takethestage</w:t>
            </w:r>
            <w:proofErr w:type="spellEnd"/>
          </w:p>
        </w:tc>
      </w:tr>
    </w:tbl>
    <w:p w:rsidR="00CD3B79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uk-UA"/>
        </w:rPr>
      </w:pPr>
    </w:p>
    <w:p w:rsidR="00CD3B79" w:rsidRPr="004F3DEB" w:rsidRDefault="00CD3B79" w:rsidP="00CD3B79">
      <w:pPr>
        <w:shd w:val="clear" w:color="auto" w:fill="FFFFFF"/>
        <w:ind w:left="15" w:firstLine="694"/>
        <w:jc w:val="both"/>
        <w:rPr>
          <w:b/>
          <w:i/>
          <w:sz w:val="28"/>
          <w:szCs w:val="28"/>
          <w:lang w:val="en-US"/>
        </w:rPr>
      </w:pPr>
      <w:r w:rsidRPr="004F3DEB">
        <w:rPr>
          <w:b/>
          <w:i/>
          <w:sz w:val="28"/>
          <w:szCs w:val="28"/>
          <w:lang w:val="en-US"/>
        </w:rPr>
        <w:t>Conclusion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An </w:t>
      </w:r>
      <w:proofErr w:type="spellStart"/>
      <w:r w:rsidRPr="00326237">
        <w:rPr>
          <w:sz w:val="28"/>
          <w:szCs w:val="28"/>
          <w:lang w:val="en-US"/>
        </w:rPr>
        <w:t>organisation</w:t>
      </w:r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>s</w:t>
      </w:r>
      <w:proofErr w:type="spellEnd"/>
      <w:r w:rsidRPr="00326237">
        <w:rPr>
          <w:sz w:val="28"/>
          <w:szCs w:val="28"/>
          <w:lang w:val="en-US"/>
        </w:rPr>
        <w:t xml:space="preserve"> marketing mix is its own way to uniquely position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the brand and drive sales. For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>, this includes understanding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what its consumers want and producing innovative products that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fulfil these needs. Using innovative methods of sports marketing,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on a scale never before seen in the industry, enabled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 w:rsidRPr="00326237">
        <w:rPr>
          <w:sz w:val="28"/>
          <w:szCs w:val="28"/>
          <w:lang w:val="en-US"/>
        </w:rPr>
        <w:t xml:space="preserve"> to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target the youth audience in </w:t>
      </w:r>
      <w:smartTag w:uri="urn:schemas-microsoft-com:office:smarttags" w:element="City">
        <w:smartTag w:uri="urn:schemas-microsoft-com:office:smarttags" w:element="place">
          <w:r w:rsidRPr="00326237">
            <w:rPr>
              <w:sz w:val="28"/>
              <w:szCs w:val="28"/>
              <w:lang w:val="en-US"/>
            </w:rPr>
            <w:t>London</w:t>
          </w:r>
        </w:smartTag>
      </w:smartTag>
      <w:r w:rsidRPr="00326237">
        <w:rPr>
          <w:sz w:val="28"/>
          <w:szCs w:val="28"/>
          <w:lang w:val="en-US"/>
        </w:rPr>
        <w:t xml:space="preserve"> whilst also having a global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reach through social media and online promotion. </w:t>
      </w:r>
    </w:p>
    <w:p w:rsidR="00CD3B79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 xml:space="preserve">Sponsorship deals such as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heritage with the Olympic Games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are very expensive. However, as this case study shows, through well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planned marketing strategies with clearly defined objectives they can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offer a way of creating deeper engagement with consumers.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Partnering the brand with London 2012, Team GB and Paralympics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GB engaged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target consumers and created huge amounts of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support for Team GB before, during and after the Games.</w:t>
      </w:r>
    </w:p>
    <w:p w:rsidR="00CD3B79" w:rsidRDefault="00CD3B79" w:rsidP="00CD3B79">
      <w:pPr>
        <w:shd w:val="clear" w:color="auto" w:fill="FFFFFF"/>
        <w:ind w:left="15" w:firstLine="694"/>
        <w:rPr>
          <w:sz w:val="28"/>
          <w:szCs w:val="28"/>
          <w:lang w:val="uk-UA"/>
        </w:rPr>
      </w:pPr>
    </w:p>
    <w:p w:rsidR="00CD3B79" w:rsidRDefault="00CD3B79" w:rsidP="00CD3B79">
      <w:pPr>
        <w:shd w:val="clear" w:color="auto" w:fill="FFFFFF"/>
        <w:ind w:left="15" w:firstLine="694"/>
        <w:rPr>
          <w:sz w:val="28"/>
          <w:szCs w:val="28"/>
          <w:lang w:val="uk-UA"/>
        </w:rPr>
      </w:pPr>
    </w:p>
    <w:p w:rsidR="00CD3B79" w:rsidRDefault="00CD3B79" w:rsidP="00CD3B79">
      <w:pPr>
        <w:pStyle w:val="2"/>
        <w:spacing w:after="0" w:line="24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Vocabulary: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42"/>
        <w:gridCol w:w="1787"/>
        <w:gridCol w:w="2324"/>
      </w:tblGrid>
      <w:tr w:rsidR="00CD3B79" w:rsidRPr="00F15A18" w:rsidTr="00F844A9">
        <w:tc>
          <w:tcPr>
            <w:tcW w:w="2093" w:type="dxa"/>
            <w:shd w:val="clear" w:color="auto" w:fill="auto"/>
          </w:tcPr>
          <w:p w:rsidR="00CD3B79" w:rsidRPr="00F15A18" w:rsidRDefault="00CD3B79" w:rsidP="00F844A9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F15A18">
              <w:rPr>
                <w:sz w:val="22"/>
                <w:szCs w:val="22"/>
                <w:lang w:val="en-US"/>
              </w:rPr>
              <w:t>English term</w:t>
            </w:r>
          </w:p>
        </w:tc>
        <w:tc>
          <w:tcPr>
            <w:tcW w:w="3742" w:type="dxa"/>
            <w:shd w:val="clear" w:color="auto" w:fill="auto"/>
          </w:tcPr>
          <w:p w:rsidR="00CD3B79" w:rsidRPr="00F15A18" w:rsidRDefault="00CD3B79" w:rsidP="00F844A9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F15A18">
              <w:rPr>
                <w:sz w:val="22"/>
                <w:szCs w:val="22"/>
                <w:lang w:val="en-US"/>
              </w:rPr>
              <w:t>Ukrainian term</w:t>
            </w:r>
          </w:p>
        </w:tc>
        <w:tc>
          <w:tcPr>
            <w:tcW w:w="1787" w:type="dxa"/>
            <w:shd w:val="clear" w:color="auto" w:fill="auto"/>
          </w:tcPr>
          <w:p w:rsidR="00CD3B79" w:rsidRPr="00F15A18" w:rsidRDefault="00CD3B79" w:rsidP="00F844A9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F15A18">
              <w:rPr>
                <w:sz w:val="22"/>
                <w:szCs w:val="22"/>
                <w:lang w:val="en-US"/>
              </w:rPr>
              <w:t>English term</w:t>
            </w:r>
          </w:p>
        </w:tc>
        <w:tc>
          <w:tcPr>
            <w:tcW w:w="2324" w:type="dxa"/>
            <w:shd w:val="clear" w:color="auto" w:fill="auto"/>
          </w:tcPr>
          <w:p w:rsidR="00CD3B79" w:rsidRPr="00F15A18" w:rsidRDefault="00CD3B79" w:rsidP="00F844A9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F15A18">
              <w:rPr>
                <w:sz w:val="22"/>
                <w:szCs w:val="22"/>
                <w:lang w:val="en-US"/>
              </w:rPr>
              <w:t>Ukrainian term</w:t>
            </w:r>
          </w:p>
        </w:tc>
      </w:tr>
      <w:tr w:rsidR="00CD3B79" w:rsidRPr="009735BF" w:rsidTr="00F844A9">
        <w:tc>
          <w:tcPr>
            <w:tcW w:w="2093" w:type="dxa"/>
            <w:shd w:val="clear" w:color="auto" w:fill="auto"/>
          </w:tcPr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state</w:t>
            </w: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en-US"/>
              </w:rPr>
              <w:t>of the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art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subsidiary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sports excellence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iconic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heritage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anticipating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requirement profitability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tailor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inspire</w:t>
            </w:r>
          </w:p>
          <w:p w:rsidR="00CD3B79" w:rsidRPr="00286B1B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engage</w:t>
            </w:r>
          </w:p>
          <w:p w:rsidR="00CD3B79" w:rsidRPr="00286B1B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kit</w:t>
            </w:r>
          </w:p>
        </w:tc>
        <w:tc>
          <w:tcPr>
            <w:tcW w:w="3742" w:type="dxa"/>
            <w:shd w:val="clear" w:color="auto" w:fill="auto"/>
          </w:tcPr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той, що відповідає сучасному стану;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другорядний;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досконалість у спорті;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культовий;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спадщина;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передбачення;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необхідна прибутковість;</w:t>
            </w:r>
          </w:p>
          <w:p w:rsidR="00CD3B79" w:rsidRPr="00D3700C" w:rsidRDefault="00CD3B79" w:rsidP="00F844A9">
            <w:pPr>
              <w:pStyle w:val="2"/>
              <w:tabs>
                <w:tab w:val="left" w:pos="176"/>
              </w:tabs>
              <w:spacing w:after="0" w:line="226" w:lineRule="auto"/>
              <w:ind w:right="-108"/>
              <w:rPr>
                <w:sz w:val="22"/>
                <w:szCs w:val="22"/>
                <w:lang w:val="ru-RU"/>
              </w:rPr>
            </w:pP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пристосовуватися;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вселяти;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зацікавити;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комплект;</w:t>
            </w:r>
          </w:p>
        </w:tc>
        <w:tc>
          <w:tcPr>
            <w:tcW w:w="1787" w:type="dxa"/>
            <w:shd w:val="clear" w:color="auto" w:fill="auto"/>
          </w:tcPr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awareness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above – the – line promotion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below – the – line promotion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intimate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engagement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youngster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undiscovered</w:t>
            </w:r>
          </w:p>
          <w:p w:rsidR="00CD3B79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stage</w:t>
            </w:r>
          </w:p>
          <w:p w:rsidR="00CD3B79" w:rsidRPr="00D3700C" w:rsidRDefault="00CD3B79" w:rsidP="00CD3B79">
            <w:pPr>
              <w:pStyle w:val="2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booth</w:t>
            </w:r>
          </w:p>
        </w:tc>
        <w:tc>
          <w:tcPr>
            <w:tcW w:w="2324" w:type="dxa"/>
            <w:shd w:val="clear" w:color="auto" w:fill="auto"/>
          </w:tcPr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поінформованість;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замовлене просування;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52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просування власними силами;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глибинний;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залучення;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юнаки та дівчата;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невідкритий;</w:t>
            </w:r>
          </w:p>
          <w:p w:rsidR="00CD3B79" w:rsidRPr="00D3700C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естрада;</w:t>
            </w:r>
          </w:p>
          <w:p w:rsidR="00CD3B79" w:rsidRPr="00706631" w:rsidRDefault="00CD3B79" w:rsidP="00F844A9">
            <w:pPr>
              <w:pStyle w:val="2"/>
              <w:numPr>
                <w:ilvl w:val="0"/>
                <w:numId w:val="1"/>
              </w:numPr>
              <w:tabs>
                <w:tab w:val="left" w:pos="176"/>
              </w:tabs>
              <w:spacing w:after="0" w:line="226" w:lineRule="auto"/>
              <w:ind w:left="0" w:right="-108" w:firstLine="3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будка, палатка, кіоск.</w:t>
            </w:r>
          </w:p>
        </w:tc>
      </w:tr>
    </w:tbl>
    <w:p w:rsidR="00CD3B79" w:rsidRPr="000100E4" w:rsidRDefault="00CD3B79" w:rsidP="00CD3B79">
      <w:pPr>
        <w:shd w:val="clear" w:color="auto" w:fill="FFFFFF"/>
        <w:ind w:left="15" w:firstLine="694"/>
        <w:rPr>
          <w:sz w:val="28"/>
          <w:szCs w:val="28"/>
          <w:lang w:val="en-US"/>
        </w:rPr>
      </w:pPr>
      <w:r w:rsidRPr="000100E4">
        <w:rPr>
          <w:sz w:val="28"/>
          <w:szCs w:val="28"/>
          <w:lang w:val="en-US"/>
        </w:rPr>
        <w:lastRenderedPageBreak/>
        <w:t>Sources:</w:t>
      </w:r>
    </w:p>
    <w:p w:rsidR="00CD3B79" w:rsidRDefault="00CD3B79" w:rsidP="00CD3B7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Histiry</w:t>
      </w:r>
      <w:proofErr w:type="spellEnd"/>
      <w:r>
        <w:rPr>
          <w:sz w:val="28"/>
          <w:szCs w:val="28"/>
          <w:lang w:val="en-US"/>
        </w:rPr>
        <w:t xml:space="preserve"> of the Company [Electronic resource] / Official site of Adidas-group. – Access </w:t>
      </w:r>
      <w:proofErr w:type="gramStart"/>
      <w:r>
        <w:rPr>
          <w:sz w:val="28"/>
          <w:szCs w:val="28"/>
          <w:lang w:val="en-US"/>
        </w:rPr>
        <w:t>mode :</w:t>
      </w:r>
      <w:proofErr w:type="gramEnd"/>
      <w:r>
        <w:rPr>
          <w:sz w:val="28"/>
          <w:szCs w:val="28"/>
          <w:lang w:val="en-US"/>
        </w:rPr>
        <w:t xml:space="preserve"> </w:t>
      </w:r>
      <w:r w:rsidRPr="000E3BC2">
        <w:rPr>
          <w:sz w:val="28"/>
          <w:szCs w:val="28"/>
          <w:lang w:val="en-US"/>
        </w:rPr>
        <w:t>http://www.adidas-group.com/en/group/history/</w:t>
      </w:r>
    </w:p>
    <w:p w:rsidR="00CD3B79" w:rsidRDefault="00CD3B79" w:rsidP="00CD3B7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0E3BC2">
        <w:rPr>
          <w:sz w:val="28"/>
          <w:szCs w:val="28"/>
          <w:lang w:val="en-US"/>
        </w:rPr>
        <w:t>Adidas. Planning effective marketing strategies for a target audience</w:t>
      </w:r>
      <w:r w:rsidRPr="004F3D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[Electronic resource] / </w:t>
      </w:r>
      <w:hyperlink r:id="rId5" w:history="1">
        <w:r w:rsidRPr="00D058BA">
          <w:rPr>
            <w:sz w:val="28"/>
            <w:szCs w:val="28"/>
            <w:lang w:val="en-US"/>
          </w:rPr>
          <w:t>Business Case Studies</w:t>
        </w:r>
      </w:hyperlink>
      <w:r>
        <w:rPr>
          <w:sz w:val="28"/>
          <w:szCs w:val="28"/>
          <w:lang w:val="en-US"/>
        </w:rPr>
        <w:t xml:space="preserve"> LLP. – Access </w:t>
      </w:r>
      <w:proofErr w:type="gramStart"/>
      <w:r>
        <w:rPr>
          <w:sz w:val="28"/>
          <w:szCs w:val="28"/>
          <w:lang w:val="en-US"/>
        </w:rPr>
        <w:t xml:space="preserve">mode </w:t>
      </w:r>
      <w:r w:rsidRPr="00BD3477"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  <w:lang w:val="en-US"/>
        </w:rPr>
        <w:t xml:space="preserve"> </w:t>
      </w:r>
      <w:r w:rsidRPr="000E3BC2">
        <w:rPr>
          <w:sz w:val="28"/>
          <w:szCs w:val="28"/>
          <w:lang w:val="en-US"/>
        </w:rPr>
        <w:t>http://businesscasestudies.co.uk/adidas/planning-effective-marketing-strategies-for-a-target-audience/introduction.html#axzz38nWqWzle</w:t>
      </w:r>
    </w:p>
    <w:p w:rsidR="00CD3B79" w:rsidRDefault="00CD3B79" w:rsidP="00CD3B79">
      <w:pPr>
        <w:widowControl w:val="0"/>
        <w:shd w:val="clear" w:color="auto" w:fill="FFFFFF"/>
        <w:tabs>
          <w:tab w:val="left" w:pos="5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CD3B79" w:rsidRPr="008C248E" w:rsidRDefault="00CD3B79" w:rsidP="00CD3B79">
      <w:pPr>
        <w:widowControl w:val="0"/>
        <w:shd w:val="clear" w:color="auto" w:fill="FFFFFF"/>
        <w:tabs>
          <w:tab w:val="left" w:pos="5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Discuss the questions: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Describe the elements that make up the marketing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mix</w:t>
      </w:r>
      <w:r>
        <w:rPr>
          <w:sz w:val="28"/>
          <w:szCs w:val="28"/>
          <w:lang w:val="en-US"/>
        </w:rPr>
        <w:t>.</w:t>
      </w:r>
    </w:p>
    <w:p w:rsidR="00CD3B79" w:rsidRPr="00326237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2.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Explain the term sponsorship. Name a sponsorship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deal that you think was effective. Explain your answer.</w:t>
      </w:r>
    </w:p>
    <w:p w:rsidR="00CD3B79" w:rsidRPr="000A7DEE" w:rsidRDefault="00CD3B79" w:rsidP="00CD3B79">
      <w:pPr>
        <w:shd w:val="clear" w:color="auto" w:fill="FFFFFF"/>
        <w:ind w:left="15" w:firstLine="694"/>
        <w:jc w:val="both"/>
        <w:rPr>
          <w:sz w:val="28"/>
          <w:szCs w:val="28"/>
          <w:lang w:val="en-US"/>
        </w:rPr>
      </w:pPr>
      <w:r w:rsidRPr="00326237">
        <w:rPr>
          <w:sz w:val="28"/>
          <w:szCs w:val="28"/>
          <w:lang w:val="en-US"/>
        </w:rPr>
        <w:t>3.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26237">
        <w:rPr>
          <w:sz w:val="28"/>
          <w:szCs w:val="28"/>
          <w:lang w:val="en-US"/>
        </w:rPr>
        <w:t>Analyse</w:t>
      </w:r>
      <w:proofErr w:type="spellEnd"/>
      <w:r w:rsidRPr="00326237">
        <w:rPr>
          <w:sz w:val="28"/>
          <w:szCs w:val="28"/>
          <w:lang w:val="en-US"/>
        </w:rPr>
        <w:t xml:space="preserve"> the importance of using both above-the-line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and below-the-line promotion for an effective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>marketing campaign.</w:t>
      </w:r>
      <w:r>
        <w:rPr>
          <w:sz w:val="28"/>
          <w:szCs w:val="28"/>
          <w:lang w:val="uk-UA"/>
        </w:rPr>
        <w:t xml:space="preserve"> </w:t>
      </w:r>
      <w:r w:rsidRPr="00326237">
        <w:rPr>
          <w:sz w:val="28"/>
          <w:szCs w:val="28"/>
          <w:lang w:val="en-US"/>
        </w:rPr>
        <w:t xml:space="preserve">Evaluate the effectiveness of </w:t>
      </w:r>
      <w:proofErr w:type="spellStart"/>
      <w:r w:rsidRPr="00326237">
        <w:rPr>
          <w:sz w:val="28"/>
          <w:szCs w:val="28"/>
          <w:lang w:val="en-US"/>
        </w:rPr>
        <w:t>adidas</w:t>
      </w:r>
      <w:proofErr w:type="spellEnd"/>
      <w:r>
        <w:rPr>
          <w:sz w:val="28"/>
          <w:szCs w:val="28"/>
          <w:lang w:val="en-US"/>
        </w:rPr>
        <w:t>’</w:t>
      </w:r>
      <w:r w:rsidRPr="00326237">
        <w:rPr>
          <w:sz w:val="28"/>
          <w:szCs w:val="28"/>
          <w:lang w:val="en-US"/>
        </w:rPr>
        <w:t xml:space="preserve"> use of social</w:t>
      </w:r>
      <w:r>
        <w:rPr>
          <w:sz w:val="28"/>
          <w:szCs w:val="28"/>
          <w:lang w:val="en-US"/>
        </w:rPr>
        <w:t xml:space="preserve"> </w:t>
      </w:r>
      <w:r w:rsidRPr="00326237">
        <w:rPr>
          <w:sz w:val="28"/>
          <w:szCs w:val="28"/>
          <w:lang w:val="en-US"/>
        </w:rPr>
        <w:t xml:space="preserve">media in its </w:t>
      </w:r>
      <w:r>
        <w:rPr>
          <w:sz w:val="28"/>
          <w:szCs w:val="28"/>
          <w:lang w:val="uk-UA"/>
        </w:rPr>
        <w:t>«</w:t>
      </w:r>
      <w:r w:rsidRPr="00326237">
        <w:rPr>
          <w:sz w:val="28"/>
          <w:szCs w:val="28"/>
          <w:lang w:val="en-US"/>
        </w:rPr>
        <w:t>Take the Stage</w:t>
      </w:r>
      <w:r>
        <w:rPr>
          <w:sz w:val="28"/>
          <w:szCs w:val="28"/>
          <w:lang w:val="uk-UA"/>
        </w:rPr>
        <w:t>»</w:t>
      </w:r>
      <w:r w:rsidRPr="00326237">
        <w:rPr>
          <w:sz w:val="28"/>
          <w:szCs w:val="28"/>
          <w:lang w:val="en-US"/>
        </w:rPr>
        <w:t xml:space="preserve"> campaign.</w:t>
      </w:r>
    </w:p>
    <w:p w:rsidR="00CD3B79" w:rsidRPr="000A7DEE" w:rsidRDefault="00CD3B79" w:rsidP="00CD3B79">
      <w:pPr>
        <w:rPr>
          <w:lang w:val="en-US"/>
        </w:rPr>
      </w:pPr>
    </w:p>
    <w:p w:rsidR="003220BE" w:rsidRPr="00CD3B79" w:rsidRDefault="003220BE">
      <w:pPr>
        <w:rPr>
          <w:lang w:val="en-US"/>
        </w:rPr>
      </w:pPr>
    </w:p>
    <w:sectPr w:rsidR="003220BE" w:rsidRPr="00CD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72DE"/>
    <w:multiLevelType w:val="hybridMultilevel"/>
    <w:tmpl w:val="D92C26FE"/>
    <w:lvl w:ilvl="0" w:tplc="CDA85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36B2F"/>
    <w:multiLevelType w:val="hybridMultilevel"/>
    <w:tmpl w:val="7DEEAF10"/>
    <w:lvl w:ilvl="0" w:tplc="57B40B6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7B416E"/>
    <w:multiLevelType w:val="hybridMultilevel"/>
    <w:tmpl w:val="8B5A64C2"/>
    <w:lvl w:ilvl="0" w:tplc="F0801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3E0E7A"/>
    <w:multiLevelType w:val="hybridMultilevel"/>
    <w:tmpl w:val="8496FCB8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79"/>
    <w:rsid w:val="003220BE"/>
    <w:rsid w:val="00C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A8A3AFF"/>
  <w15:chartTrackingRefBased/>
  <w15:docId w15:val="{3F59BF0F-8012-466C-A219-75707AFC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B79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CD3B79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CD3B79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inesscasestudie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9564</Words>
  <Characters>5453</Characters>
  <Application>Microsoft Office Word</Application>
  <DocSecurity>0</DocSecurity>
  <Lines>45</Lines>
  <Paragraphs>29</Paragraphs>
  <ScaleCrop>false</ScaleCrop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1</cp:revision>
  <dcterms:created xsi:type="dcterms:W3CDTF">2025-10-22T08:31:00Z</dcterms:created>
  <dcterms:modified xsi:type="dcterms:W3CDTF">2025-10-22T08:32:00Z</dcterms:modified>
</cp:coreProperties>
</file>