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77D8D3" w14:textId="3B946056" w:rsidR="00802CC9" w:rsidRPr="00A746EA" w:rsidRDefault="00802CC9" w:rsidP="00A746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746EA">
        <w:rPr>
          <w:rFonts w:ascii="Times New Roman" w:hAnsi="Times New Roman" w:cs="Times New Roman"/>
          <w:b/>
          <w:bCs/>
          <w:sz w:val="28"/>
          <w:szCs w:val="28"/>
        </w:rPr>
        <w:t>ПРАКТИЧНА РОБОТА №12</w:t>
      </w:r>
    </w:p>
    <w:p w14:paraId="1EC602C7" w14:textId="4640A0D4" w:rsidR="00802CC9" w:rsidRPr="00A746EA" w:rsidRDefault="00802CC9" w:rsidP="00A746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746EA">
        <w:rPr>
          <w:rFonts w:ascii="Times New Roman" w:hAnsi="Times New Roman" w:cs="Times New Roman"/>
          <w:b/>
          <w:bCs/>
          <w:sz w:val="28"/>
          <w:szCs w:val="28"/>
        </w:rPr>
        <w:t>ОЦІНКА ТЕХНОГЕННОГО ВПЛИВУ НА ПОВЕРХНЕВІ ВОДИ</w:t>
      </w:r>
    </w:p>
    <w:p w14:paraId="2D6543E4" w14:textId="77777777" w:rsidR="00802CC9" w:rsidRPr="00A746EA" w:rsidRDefault="00802CC9" w:rsidP="00A746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46EA">
        <w:rPr>
          <w:rFonts w:ascii="Times New Roman" w:hAnsi="Times New Roman" w:cs="Times New Roman"/>
          <w:b/>
          <w:bCs/>
          <w:sz w:val="28"/>
          <w:szCs w:val="28"/>
        </w:rPr>
        <w:t xml:space="preserve">Мета </w:t>
      </w:r>
      <w:proofErr w:type="spellStart"/>
      <w:r w:rsidRPr="00A746EA">
        <w:rPr>
          <w:rFonts w:ascii="Times New Roman" w:hAnsi="Times New Roman" w:cs="Times New Roman"/>
          <w:b/>
          <w:bCs/>
          <w:sz w:val="28"/>
          <w:szCs w:val="28"/>
        </w:rPr>
        <w:t>заняття</w:t>
      </w:r>
      <w:proofErr w:type="spellEnd"/>
      <w:r w:rsidRPr="00A746EA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навчитися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проводити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оцінку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техногенного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поверхневі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води. </w:t>
      </w:r>
    </w:p>
    <w:p w14:paraId="20EA5321" w14:textId="77777777" w:rsidR="00802CC9" w:rsidRPr="00A746EA" w:rsidRDefault="00802CC9" w:rsidP="00A746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46EA">
        <w:rPr>
          <w:rFonts w:ascii="Times New Roman" w:hAnsi="Times New Roman" w:cs="Times New Roman"/>
          <w:b/>
          <w:bCs/>
          <w:sz w:val="28"/>
          <w:szCs w:val="28"/>
        </w:rPr>
        <w:t xml:space="preserve">Теоретична </w:t>
      </w:r>
      <w:proofErr w:type="spellStart"/>
      <w:r w:rsidRPr="00A746EA">
        <w:rPr>
          <w:rFonts w:ascii="Times New Roman" w:hAnsi="Times New Roman" w:cs="Times New Roman"/>
          <w:b/>
          <w:bCs/>
          <w:sz w:val="28"/>
          <w:szCs w:val="28"/>
        </w:rPr>
        <w:t>частина</w:t>
      </w:r>
      <w:proofErr w:type="spellEnd"/>
      <w:r w:rsidRPr="00A746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883CF89" w14:textId="77777777" w:rsidR="00802CC9" w:rsidRPr="00A746EA" w:rsidRDefault="00802CC9" w:rsidP="00A746E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Виділяють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поверхневих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вод: метод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зіставлення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вод як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існування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гідробіонтів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комплексної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забрудненості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водних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об'єктів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застосуванням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інтегральних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показників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3BD9D99" w14:textId="77777777" w:rsidR="00802CC9" w:rsidRPr="00A746EA" w:rsidRDefault="00802CC9" w:rsidP="00A746E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746EA">
        <w:rPr>
          <w:rFonts w:ascii="Times New Roman" w:hAnsi="Times New Roman" w:cs="Times New Roman"/>
          <w:sz w:val="28"/>
          <w:szCs w:val="28"/>
        </w:rPr>
        <w:t xml:space="preserve">Метод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зіставлення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заснований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порівнянні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хімічних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фізичних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біологічних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показників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вод з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відповідними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нормативними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характеристиками. </w:t>
      </w:r>
    </w:p>
    <w:p w14:paraId="2C53E6D3" w14:textId="77777777" w:rsidR="00802CC9" w:rsidRPr="00A746EA" w:rsidRDefault="00802CC9" w:rsidP="00A746E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вод як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існування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передбачають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оцінку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гідробіологічних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спостережень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часто на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практиці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комплексної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застосуванням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інтегральних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комплексних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показників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9CB0A3D" w14:textId="77777777" w:rsidR="00802CC9" w:rsidRPr="00A746EA" w:rsidRDefault="00802CC9" w:rsidP="00A746E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746EA">
        <w:rPr>
          <w:rFonts w:ascii="Times New Roman" w:hAnsi="Times New Roman" w:cs="Times New Roman"/>
          <w:sz w:val="28"/>
          <w:szCs w:val="28"/>
        </w:rPr>
        <w:t xml:space="preserve">Комплексна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оцінка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забруднення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поверхневих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вод –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уявлення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ступінь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забруднення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якість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виражається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певну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систему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показників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обмежену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сукупність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характеристик складу і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властивостей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води,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порівнюються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критеріями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води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нормативами для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виду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водокористування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водоспоживання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6D549AFA" w14:textId="77777777" w:rsidR="00802CC9" w:rsidRPr="00A746EA" w:rsidRDefault="00802CC9" w:rsidP="00A746E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Перелік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комплексної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країнах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достатньо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великий.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Перелічимо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деякі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з них. </w:t>
      </w:r>
    </w:p>
    <w:p w14:paraId="2AF87647" w14:textId="6AD2104A" w:rsidR="00802CC9" w:rsidRPr="00A746EA" w:rsidRDefault="00802CC9" w:rsidP="00A746EA">
      <w:pPr>
        <w:pStyle w:val="a7"/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Графічний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метод –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базується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складанні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графічної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поверхневих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вод, яка є круговою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діаграмою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шкалами-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радіусами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відповідають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певному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гідрохімічному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показнику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(рис. 12.1).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методу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одночасно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перевищення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ГДК за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вмістом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показників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, по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проводяться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спостереження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95F5F26" w14:textId="6536AB43" w:rsidR="00A746EA" w:rsidRPr="00A746EA" w:rsidRDefault="00A746EA" w:rsidP="00A746EA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A746EA">
        <w:rPr>
          <w:rFonts w:ascii="Times New Roman" w:hAnsi="Times New Roman" w:cs="Times New Roman"/>
          <w:noProof/>
          <w:sz w:val="28"/>
          <w:szCs w:val="28"/>
          <w:lang w:val="en-US"/>
        </w:rPr>
        <w:lastRenderedPageBreak/>
        <w:drawing>
          <wp:inline distT="0" distB="0" distL="0" distR="0" wp14:anchorId="0245DB14" wp14:editId="3FD59104">
            <wp:extent cx="4892578" cy="4281413"/>
            <wp:effectExtent l="0" t="0" r="3810" b="5080"/>
            <wp:docPr id="1" name="Рисунок 1" descr="C:\Users\userznu\Downloads\CamScanner 22.10.2025 15.3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znu\Downloads\CamScanner 22.10.2025 15.32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8312" cy="428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E3DE3" w14:textId="77777777" w:rsidR="00802CC9" w:rsidRPr="00A746EA" w:rsidRDefault="00802CC9" w:rsidP="00A746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46EA">
        <w:rPr>
          <w:rFonts w:ascii="Times New Roman" w:hAnsi="Times New Roman" w:cs="Times New Roman"/>
          <w:i/>
          <w:iCs/>
          <w:sz w:val="28"/>
          <w:szCs w:val="28"/>
        </w:rPr>
        <w:t xml:space="preserve">Рис. 12.1. </w:t>
      </w:r>
      <w:r w:rsidRPr="00A746EA">
        <w:rPr>
          <w:rFonts w:ascii="Times New Roman" w:hAnsi="Times New Roman" w:cs="Times New Roman"/>
          <w:b/>
          <w:bCs/>
          <w:sz w:val="28"/>
          <w:szCs w:val="28"/>
        </w:rPr>
        <w:t xml:space="preserve">Приклад </w:t>
      </w:r>
      <w:proofErr w:type="spellStart"/>
      <w:r w:rsidRPr="00A746EA">
        <w:rPr>
          <w:rFonts w:ascii="Times New Roman" w:hAnsi="Times New Roman" w:cs="Times New Roman"/>
          <w:b/>
          <w:bCs/>
          <w:sz w:val="28"/>
          <w:szCs w:val="28"/>
        </w:rPr>
        <w:t>реалізації</w:t>
      </w:r>
      <w:proofErr w:type="spellEnd"/>
      <w:r w:rsidRPr="00A746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b/>
          <w:bCs/>
          <w:sz w:val="28"/>
          <w:szCs w:val="28"/>
        </w:rPr>
        <w:t>графічного</w:t>
      </w:r>
      <w:proofErr w:type="spellEnd"/>
      <w:r w:rsidRPr="00A746EA">
        <w:rPr>
          <w:rFonts w:ascii="Times New Roman" w:hAnsi="Times New Roman" w:cs="Times New Roman"/>
          <w:b/>
          <w:bCs/>
          <w:sz w:val="28"/>
          <w:szCs w:val="28"/>
        </w:rPr>
        <w:t xml:space="preserve"> методу </w:t>
      </w:r>
      <w:proofErr w:type="spellStart"/>
      <w:r w:rsidRPr="00A746EA">
        <w:rPr>
          <w:rFonts w:ascii="Times New Roman" w:hAnsi="Times New Roman" w:cs="Times New Roman"/>
          <w:b/>
          <w:bCs/>
          <w:sz w:val="28"/>
          <w:szCs w:val="28"/>
        </w:rPr>
        <w:t>оцінки</w:t>
      </w:r>
      <w:proofErr w:type="spellEnd"/>
      <w:r w:rsidRPr="00A746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b/>
          <w:bCs/>
          <w:sz w:val="28"/>
          <w:szCs w:val="28"/>
        </w:rPr>
        <w:t>якості</w:t>
      </w:r>
      <w:proofErr w:type="spellEnd"/>
      <w:r w:rsidRPr="00A746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b/>
          <w:bCs/>
          <w:sz w:val="28"/>
          <w:szCs w:val="28"/>
        </w:rPr>
        <w:t>поверхневих</w:t>
      </w:r>
      <w:proofErr w:type="spellEnd"/>
      <w:r w:rsidRPr="00A746EA">
        <w:rPr>
          <w:rFonts w:ascii="Times New Roman" w:hAnsi="Times New Roman" w:cs="Times New Roman"/>
          <w:b/>
          <w:bCs/>
          <w:sz w:val="28"/>
          <w:szCs w:val="28"/>
        </w:rPr>
        <w:t xml:space="preserve"> вод </w:t>
      </w:r>
    </w:p>
    <w:p w14:paraId="20F8FADE" w14:textId="77777777" w:rsidR="00802CC9" w:rsidRPr="00A746EA" w:rsidRDefault="00802CC9" w:rsidP="00A746E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46EA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Розрахунок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індексу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забруднення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води (ІЗВ) за 6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показниками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(азот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амонійний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, азот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нітритний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нафтопродукти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(НП),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феноли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розчинений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кисень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, БСК5)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з формулою: </w:t>
      </w:r>
    </w:p>
    <w:p w14:paraId="0ABCE27B" w14:textId="19173FCD" w:rsidR="00802CC9" w:rsidRPr="00A746EA" w:rsidRDefault="00A746EA" w:rsidP="00A746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746EA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41BF5C10" wp14:editId="379A0C3C">
            <wp:extent cx="1552575" cy="4000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2CC9" w:rsidRPr="00A746EA">
        <w:rPr>
          <w:rFonts w:ascii="Times New Roman" w:hAnsi="Times New Roman" w:cs="Times New Roman"/>
          <w:sz w:val="28"/>
          <w:szCs w:val="28"/>
        </w:rPr>
        <w:t>, (12.1)</w:t>
      </w:r>
    </w:p>
    <w:p w14:paraId="0B493545" w14:textId="77777777" w:rsidR="00802CC9" w:rsidRPr="00A746EA" w:rsidRDefault="00802CC9" w:rsidP="00A746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46EA">
        <w:rPr>
          <w:rFonts w:ascii="Times New Roman" w:hAnsi="Times New Roman" w:cs="Times New Roman"/>
          <w:sz w:val="28"/>
          <w:szCs w:val="28"/>
        </w:rPr>
        <w:t xml:space="preserve">де </w:t>
      </w:r>
      <w:proofErr w:type="spellStart"/>
      <w:r w:rsidRPr="00A746EA">
        <w:rPr>
          <w:rFonts w:ascii="Times New Roman" w:hAnsi="Times New Roman" w:cs="Times New Roman"/>
          <w:i/>
          <w:iCs/>
          <w:sz w:val="28"/>
          <w:szCs w:val="28"/>
        </w:rPr>
        <w:t>Сі</w:t>
      </w:r>
      <w:proofErr w:type="spellEnd"/>
      <w:r w:rsidRPr="00A746E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746EA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середнє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арифметичне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показника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води. </w:t>
      </w:r>
    </w:p>
    <w:p w14:paraId="128D4E78" w14:textId="77777777" w:rsidR="00802CC9" w:rsidRPr="00A746EA" w:rsidRDefault="00802CC9" w:rsidP="00A746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Існує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модифікація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ІЗВ [7], при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якій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враховується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обов’язкових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(БСК5 і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розчинений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кисень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) і 4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показники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найбільшими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відношеннями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до ГДК.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Вказані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показника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обираються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з такого списку: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сульфати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хлориди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, ХСК, азот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амонійний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, азот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нітритний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, азот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нітратний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фосфати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залізо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загальне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марганець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мідь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, цинк, хром (VI),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нікель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алюміній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свинець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, ртуть,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миш’як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, НП і СПАР. </w:t>
      </w:r>
    </w:p>
    <w:p w14:paraId="52080020" w14:textId="77777777" w:rsidR="00802CC9" w:rsidRPr="00A746EA" w:rsidRDefault="00802CC9" w:rsidP="00A746E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46EA">
        <w:rPr>
          <w:rFonts w:ascii="Times New Roman" w:hAnsi="Times New Roman" w:cs="Times New Roman"/>
          <w:sz w:val="28"/>
          <w:szCs w:val="28"/>
        </w:rPr>
        <w:t xml:space="preserve">3. Методика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екологічної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поверхневих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вод за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відповідними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категоріями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Оцінка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ґрунтовною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орієнтовною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Розраховуються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три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блокові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індекси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індекс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забруднення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компонентами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сольового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складу (</w:t>
      </w:r>
      <w:r w:rsidRPr="00A746EA">
        <w:rPr>
          <w:rFonts w:ascii="Times New Roman" w:hAnsi="Times New Roman" w:cs="Times New Roman"/>
          <w:i/>
          <w:iCs/>
          <w:sz w:val="28"/>
          <w:szCs w:val="28"/>
        </w:rPr>
        <w:t>І1</w:t>
      </w:r>
      <w:r w:rsidRPr="00A746EA">
        <w:rPr>
          <w:rFonts w:ascii="Times New Roman" w:hAnsi="Times New Roman" w:cs="Times New Roman"/>
          <w:sz w:val="28"/>
          <w:szCs w:val="28"/>
        </w:rPr>
        <w:t xml:space="preserve">);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трофо-сапробіологічний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еколого-санітарний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індекс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(</w:t>
      </w:r>
      <w:r w:rsidRPr="00A746EA">
        <w:rPr>
          <w:rFonts w:ascii="Times New Roman" w:hAnsi="Times New Roman" w:cs="Times New Roman"/>
          <w:i/>
          <w:iCs/>
          <w:sz w:val="28"/>
          <w:szCs w:val="28"/>
        </w:rPr>
        <w:t>І2</w:t>
      </w:r>
      <w:r w:rsidRPr="00A746EA">
        <w:rPr>
          <w:rFonts w:ascii="Times New Roman" w:hAnsi="Times New Roman" w:cs="Times New Roman"/>
          <w:sz w:val="28"/>
          <w:szCs w:val="28"/>
        </w:rPr>
        <w:t xml:space="preserve">);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індекс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специфічних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показників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токсичної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радіаційної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(</w:t>
      </w:r>
      <w:r w:rsidRPr="00A746EA">
        <w:rPr>
          <w:rFonts w:ascii="Times New Roman" w:hAnsi="Times New Roman" w:cs="Times New Roman"/>
          <w:i/>
          <w:iCs/>
          <w:sz w:val="28"/>
          <w:szCs w:val="28"/>
        </w:rPr>
        <w:t>І3</w:t>
      </w:r>
      <w:r w:rsidRPr="00A746EA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Наприкінці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інтегральний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екологічний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індекс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r w:rsidRPr="00A746EA">
        <w:rPr>
          <w:rFonts w:ascii="Times New Roman" w:hAnsi="Times New Roman" w:cs="Times New Roman"/>
          <w:i/>
          <w:iCs/>
          <w:sz w:val="28"/>
          <w:szCs w:val="28"/>
        </w:rPr>
        <w:t>ІЕ</w:t>
      </w:r>
      <w:r w:rsidRPr="00A746EA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7F99DC0" w14:textId="5405E5C5" w:rsidR="00802CC9" w:rsidRPr="00A746EA" w:rsidRDefault="00A746EA" w:rsidP="00A746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746EA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5070EC35" wp14:editId="23404C8C">
            <wp:extent cx="1171575" cy="3810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2CC9" w:rsidRPr="00A746EA">
        <w:rPr>
          <w:rFonts w:ascii="Times New Roman" w:hAnsi="Times New Roman" w:cs="Times New Roman"/>
          <w:sz w:val="28"/>
          <w:szCs w:val="28"/>
        </w:rPr>
        <w:t>, (12.2)</w:t>
      </w:r>
    </w:p>
    <w:p w14:paraId="5E258539" w14:textId="603D675B" w:rsidR="00802CC9" w:rsidRPr="00A746EA" w:rsidRDefault="00802CC9" w:rsidP="00A746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6EA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Показник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хімічного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забруднення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ПХЗ-10 –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по 10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інгредієнтам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них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виділяють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загальні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обов’язковими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розчинений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кисень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, БСК,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зважені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речовини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речовини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азотної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.), і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речовини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характерні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для конкретного водного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об’єкта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ПХЗ-10 за формулою: </w:t>
      </w:r>
    </w:p>
    <w:p w14:paraId="78B32A09" w14:textId="37A95BA9" w:rsidR="00802CC9" w:rsidRPr="00A746EA" w:rsidRDefault="00A746EA" w:rsidP="00A746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746EA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7F4B7DE3" wp14:editId="2A28EC09">
            <wp:extent cx="2009775" cy="4000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="00802CC9" w:rsidRPr="00A746E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802CC9" w:rsidRPr="00A746EA">
        <w:rPr>
          <w:rFonts w:ascii="Times New Roman" w:hAnsi="Times New Roman" w:cs="Times New Roman"/>
          <w:sz w:val="28"/>
          <w:szCs w:val="28"/>
        </w:rPr>
        <w:t>(12.3)</w:t>
      </w:r>
    </w:p>
    <w:p w14:paraId="0C609ED9" w14:textId="77777777" w:rsidR="00802CC9" w:rsidRPr="00A746EA" w:rsidRDefault="00802CC9" w:rsidP="00A746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6EA">
        <w:rPr>
          <w:rFonts w:ascii="Times New Roman" w:hAnsi="Times New Roman" w:cs="Times New Roman"/>
          <w:sz w:val="28"/>
          <w:szCs w:val="28"/>
        </w:rPr>
        <w:t xml:space="preserve">5. Методика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поверхневих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вод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суші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гідрохімічними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показниками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(методика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Гідрохімічного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інституту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). Даний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методичний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підхід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встановити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клас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за величиною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комбінаторного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індексу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забруднення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(КІЗ),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виділити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пріоритетні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ЗР за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кількістю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і складом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лімітуючих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показників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забруднення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(ЛПЗ), а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виконати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диференційовану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оцінку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води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виконується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класифікація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ознаками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повторюваності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випадків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забруднення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кратності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перевищення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нормативів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урахування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характеру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забруднення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1BA9CCE" w14:textId="77777777" w:rsidR="00802CC9" w:rsidRPr="00A746EA" w:rsidRDefault="00802CC9" w:rsidP="00A746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Оцінка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техногенного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навантаження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поверхневі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водні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об’єкти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виконуються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застосуванням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методичних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підходів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екологічного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стану і техногенного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басейн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річки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метод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ступенем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водних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. При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показники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F1E90F6" w14:textId="77777777" w:rsidR="00802CC9" w:rsidRPr="00A746EA" w:rsidRDefault="00802CC9" w:rsidP="00A746EA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A746EA">
        <w:rPr>
          <w:rFonts w:ascii="Times New Roman" w:hAnsi="Times New Roman" w:cs="Times New Roman"/>
          <w:sz w:val="28"/>
          <w:szCs w:val="28"/>
        </w:rPr>
        <w:t xml:space="preserve">−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Wз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об’єм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забору води з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річкової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, млн. м3; </w:t>
      </w:r>
    </w:p>
    <w:p w14:paraId="72ABE63C" w14:textId="77777777" w:rsidR="00802CC9" w:rsidRPr="00A746EA" w:rsidRDefault="00802CC9" w:rsidP="00A746EA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A746EA">
        <w:rPr>
          <w:rFonts w:ascii="Times New Roman" w:hAnsi="Times New Roman" w:cs="Times New Roman"/>
          <w:sz w:val="28"/>
          <w:szCs w:val="28"/>
        </w:rPr>
        <w:t xml:space="preserve">−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Wу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об’єм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втрат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річкового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стоку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внаслідок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забору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підземних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вод,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гідравлічно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пов'язані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річковою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мережею млн. м3; </w:t>
      </w:r>
    </w:p>
    <w:p w14:paraId="47AC86D4" w14:textId="77777777" w:rsidR="00802CC9" w:rsidRPr="00A746EA" w:rsidRDefault="00802CC9" w:rsidP="00A746EA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A746EA">
        <w:rPr>
          <w:rFonts w:ascii="Times New Roman" w:hAnsi="Times New Roman" w:cs="Times New Roman"/>
          <w:sz w:val="28"/>
          <w:szCs w:val="28"/>
        </w:rPr>
        <w:t xml:space="preserve">−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Wф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фактичний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об’єм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стоку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річки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, млн. м3; </w:t>
      </w:r>
    </w:p>
    <w:p w14:paraId="40BD56BF" w14:textId="77777777" w:rsidR="00802CC9" w:rsidRPr="00A746EA" w:rsidRDefault="00802CC9" w:rsidP="00A746EA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A746EA">
        <w:rPr>
          <w:rFonts w:ascii="Times New Roman" w:hAnsi="Times New Roman" w:cs="Times New Roman"/>
          <w:sz w:val="28"/>
          <w:szCs w:val="28"/>
        </w:rPr>
        <w:t xml:space="preserve">−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Wс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загальний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об’єм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скиду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стічних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вод (СВ) у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річкову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мережу, млн. м3; </w:t>
      </w:r>
    </w:p>
    <w:p w14:paraId="3AB5AE29" w14:textId="77777777" w:rsidR="00802CC9" w:rsidRPr="00A746EA" w:rsidRDefault="00802CC9" w:rsidP="00A746EA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A746EA">
        <w:rPr>
          <w:rFonts w:ascii="Times New Roman" w:hAnsi="Times New Roman" w:cs="Times New Roman"/>
          <w:sz w:val="28"/>
          <w:szCs w:val="28"/>
        </w:rPr>
        <w:t xml:space="preserve">−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Wзв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об’єм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скиду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забруднених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СВ у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річкову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мережу, млн. м3. </w:t>
      </w:r>
    </w:p>
    <w:p w14:paraId="66E72D63" w14:textId="77777777" w:rsidR="00802CC9" w:rsidRPr="00A746EA" w:rsidRDefault="00802CC9" w:rsidP="00A746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46EA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вище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наведених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показників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розраховуються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параметри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DC52EA4" w14:textId="77777777" w:rsidR="00802CC9" w:rsidRPr="00A746EA" w:rsidRDefault="00802CC9" w:rsidP="00A746EA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A746EA">
        <w:rPr>
          <w:rFonts w:ascii="Times New Roman" w:hAnsi="Times New Roman" w:cs="Times New Roman"/>
          <w:sz w:val="28"/>
          <w:szCs w:val="28"/>
        </w:rPr>
        <w:t xml:space="preserve">−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річкового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стоку q1; </w:t>
      </w:r>
    </w:p>
    <w:p w14:paraId="209B3733" w14:textId="77777777" w:rsidR="00802CC9" w:rsidRPr="00A746EA" w:rsidRDefault="00802CC9" w:rsidP="00A746EA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A746EA">
        <w:rPr>
          <w:rFonts w:ascii="Times New Roman" w:hAnsi="Times New Roman" w:cs="Times New Roman"/>
          <w:sz w:val="28"/>
          <w:szCs w:val="28"/>
        </w:rPr>
        <w:t xml:space="preserve">−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безповоротне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водоспоживання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q2; </w:t>
      </w:r>
    </w:p>
    <w:p w14:paraId="7DA16F66" w14:textId="77777777" w:rsidR="00802CC9" w:rsidRPr="00A746EA" w:rsidRDefault="00802CC9" w:rsidP="00A746EA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A746EA">
        <w:rPr>
          <w:rFonts w:ascii="Times New Roman" w:hAnsi="Times New Roman" w:cs="Times New Roman"/>
          <w:sz w:val="28"/>
          <w:szCs w:val="28"/>
        </w:rPr>
        <w:t xml:space="preserve">−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надходження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СВ до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річкової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q3; </w:t>
      </w:r>
    </w:p>
    <w:p w14:paraId="353B8E06" w14:textId="77777777" w:rsidR="00802CC9" w:rsidRPr="00A746EA" w:rsidRDefault="00802CC9" w:rsidP="00A746EA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A746EA">
        <w:rPr>
          <w:rFonts w:ascii="Times New Roman" w:hAnsi="Times New Roman" w:cs="Times New Roman"/>
          <w:sz w:val="28"/>
          <w:szCs w:val="28"/>
        </w:rPr>
        <w:t xml:space="preserve">− скид СВ q4. </w:t>
      </w:r>
    </w:p>
    <w:p w14:paraId="48C43A4C" w14:textId="77777777" w:rsidR="00802CC9" w:rsidRPr="00A746EA" w:rsidRDefault="00802CC9" w:rsidP="00A746E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зазначених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параметрів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прийняті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певні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критерії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стану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річки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техногенного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навантаження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об’єктів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показник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питомої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кратності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перевищення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ГДК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Кпит.пер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. Методика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оцінити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забрудненість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СВ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комунальних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за 5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показниками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повно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характеризує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роботу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біологічних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очисних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БСКповн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, азот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нітратний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нітритний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амонійний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фосфати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2AFD3F57" w14:textId="77777777" w:rsidR="00802CC9" w:rsidRPr="00A746EA" w:rsidRDefault="00802CC9" w:rsidP="00A746E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746EA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врахування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обсягів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скидів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стічних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вод на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водні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об'єкти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введені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поправочні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коефіцієнти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враховують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фактичне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водовідведення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станцій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біологічного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очищення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073BC41" w14:textId="3ACF212F" w:rsidR="00802CC9" w:rsidRPr="00A746EA" w:rsidRDefault="00A746EA" w:rsidP="00A746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746EA">
        <w:rPr>
          <w:rFonts w:ascii="Times New Roman" w:hAnsi="Times New Roman" w:cs="Times New Roman"/>
          <w:noProof/>
          <w:sz w:val="28"/>
          <w:szCs w:val="28"/>
          <w:lang w:val="en-US"/>
        </w:rPr>
        <w:lastRenderedPageBreak/>
        <w:drawing>
          <wp:inline distT="0" distB="0" distL="0" distR="0" wp14:anchorId="61F01403" wp14:editId="013DF755">
            <wp:extent cx="1895475" cy="4000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2CC9" w:rsidRPr="00A746EA">
        <w:rPr>
          <w:rFonts w:ascii="Times New Roman" w:hAnsi="Times New Roman" w:cs="Times New Roman"/>
          <w:sz w:val="28"/>
          <w:szCs w:val="28"/>
        </w:rPr>
        <w:t>, (12.4)</w:t>
      </w:r>
    </w:p>
    <w:p w14:paraId="0309E6AE" w14:textId="77777777" w:rsidR="00802CC9" w:rsidRPr="00A746EA" w:rsidRDefault="00802CC9" w:rsidP="00A746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46EA">
        <w:rPr>
          <w:rFonts w:ascii="Times New Roman" w:hAnsi="Times New Roman" w:cs="Times New Roman"/>
          <w:sz w:val="28"/>
          <w:szCs w:val="28"/>
        </w:rPr>
        <w:t xml:space="preserve">де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Кпит.пер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питома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кратність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перевищення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ГДК; </w:t>
      </w:r>
    </w:p>
    <w:p w14:paraId="2DE34541" w14:textId="4073685E" w:rsidR="00802CC9" w:rsidRDefault="00802CC9" w:rsidP="00A746E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746EA">
        <w:rPr>
          <w:rFonts w:ascii="Times New Roman" w:hAnsi="Times New Roman" w:cs="Times New Roman"/>
          <w:sz w:val="28"/>
          <w:szCs w:val="28"/>
        </w:rPr>
        <w:t>Ci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концентрація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i-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ої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ЗР в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очищених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СВ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, мг/дм3; </w:t>
      </w:r>
    </w:p>
    <w:p w14:paraId="2677A495" w14:textId="77777777" w:rsidR="00A746EA" w:rsidRPr="00A746EA" w:rsidRDefault="00A746EA" w:rsidP="00A746E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2E49042" w14:textId="4344C62C" w:rsidR="00802CC9" w:rsidRPr="00A746EA" w:rsidRDefault="00A746EA" w:rsidP="00A746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746EA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7513AD00" wp14:editId="3530CA2A">
            <wp:extent cx="2124075" cy="3333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2CC9" w:rsidRPr="00A746EA">
        <w:rPr>
          <w:rFonts w:ascii="Times New Roman" w:hAnsi="Times New Roman" w:cs="Times New Roman"/>
          <w:sz w:val="28"/>
          <w:szCs w:val="28"/>
        </w:rPr>
        <w:t>, (12.5)</w:t>
      </w:r>
    </w:p>
    <w:p w14:paraId="157EDC97" w14:textId="77777777" w:rsidR="00802CC9" w:rsidRPr="00A746EA" w:rsidRDefault="00802CC9" w:rsidP="00A746E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EE15191" w14:textId="77777777" w:rsidR="00802CC9" w:rsidRPr="00A746EA" w:rsidRDefault="00802CC9" w:rsidP="00A746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46EA">
        <w:rPr>
          <w:rFonts w:ascii="Times New Roman" w:hAnsi="Times New Roman" w:cs="Times New Roman"/>
          <w:sz w:val="28"/>
          <w:szCs w:val="28"/>
        </w:rPr>
        <w:t xml:space="preserve">де КQ –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поправочний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коефіцієнт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50307CF" w14:textId="70CF6575" w:rsidR="00802CC9" w:rsidRPr="00A746EA" w:rsidRDefault="00802CC9" w:rsidP="00A746E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746EA">
        <w:rPr>
          <w:rFonts w:ascii="Times New Roman" w:hAnsi="Times New Roman" w:cs="Times New Roman"/>
          <w:sz w:val="28"/>
          <w:szCs w:val="28"/>
        </w:rPr>
        <w:t>Qфакт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фактичний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обсяг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водовідведення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>, м3/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добу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04F6BC3" w14:textId="77777777" w:rsidR="00802CC9" w:rsidRPr="00A746EA" w:rsidRDefault="00802CC9" w:rsidP="0092347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Індекс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техногенного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навантаження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водні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об’єкти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ІТНВО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за формулою: </w:t>
      </w:r>
    </w:p>
    <w:p w14:paraId="41E5F055" w14:textId="79BBF791" w:rsidR="00802CC9" w:rsidRPr="00A746EA" w:rsidRDefault="0092347E" w:rsidP="009234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2347E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5B9D57DC" wp14:editId="09DF6305">
            <wp:extent cx="2085975" cy="2762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2CC9" w:rsidRPr="00A746EA">
        <w:rPr>
          <w:rFonts w:ascii="Times New Roman" w:hAnsi="Times New Roman" w:cs="Times New Roman"/>
          <w:sz w:val="28"/>
          <w:szCs w:val="28"/>
        </w:rPr>
        <w:t>, (12.6)</w:t>
      </w:r>
    </w:p>
    <w:p w14:paraId="2D41B436" w14:textId="77777777" w:rsidR="00802CC9" w:rsidRPr="00A746EA" w:rsidRDefault="00802CC9" w:rsidP="0092347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Класифікація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рівнів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техногенного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навантаження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розробленої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класифікації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наведена у табл. 12.1. </w:t>
      </w:r>
    </w:p>
    <w:p w14:paraId="4CAB5275" w14:textId="77777777" w:rsidR="00802CC9" w:rsidRPr="00A746EA" w:rsidRDefault="00802CC9" w:rsidP="0092347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A746EA">
        <w:rPr>
          <w:rFonts w:ascii="Times New Roman" w:hAnsi="Times New Roman" w:cs="Times New Roman"/>
          <w:i/>
          <w:iCs/>
          <w:sz w:val="28"/>
          <w:szCs w:val="28"/>
        </w:rPr>
        <w:t>Таблиця</w:t>
      </w:r>
      <w:proofErr w:type="spellEnd"/>
      <w:r w:rsidRPr="00A746EA">
        <w:rPr>
          <w:rFonts w:ascii="Times New Roman" w:hAnsi="Times New Roman" w:cs="Times New Roman"/>
          <w:i/>
          <w:iCs/>
          <w:sz w:val="28"/>
          <w:szCs w:val="28"/>
        </w:rPr>
        <w:t xml:space="preserve"> 12.1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2"/>
        <w:gridCol w:w="2742"/>
        <w:gridCol w:w="2742"/>
      </w:tblGrid>
      <w:tr w:rsidR="00802CC9" w:rsidRPr="00A746EA" w14:paraId="7F957F74" w14:textId="77777777" w:rsidTr="0092347E">
        <w:trPr>
          <w:trHeight w:val="132"/>
          <w:jc w:val="center"/>
        </w:trPr>
        <w:tc>
          <w:tcPr>
            <w:tcW w:w="2742" w:type="dxa"/>
          </w:tcPr>
          <w:p w14:paraId="63874059" w14:textId="77777777" w:rsidR="00802CC9" w:rsidRPr="00A746EA" w:rsidRDefault="00802CC9" w:rsidP="00A746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46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Класифікація</w:t>
            </w:r>
            <w:proofErr w:type="spellEnd"/>
            <w:r w:rsidRPr="00A746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746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рівнів</w:t>
            </w:r>
            <w:proofErr w:type="spellEnd"/>
            <w:r w:rsidRPr="00A746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техногенного </w:t>
            </w:r>
            <w:proofErr w:type="spellStart"/>
            <w:r w:rsidRPr="00A746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навантаження</w:t>
            </w:r>
            <w:proofErr w:type="spellEnd"/>
            <w:r w:rsidRPr="00A746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на </w:t>
            </w:r>
            <w:proofErr w:type="spellStart"/>
            <w:r w:rsidRPr="00A746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водні</w:t>
            </w:r>
            <w:proofErr w:type="spellEnd"/>
            <w:r w:rsidRPr="00A746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746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об’єкти</w:t>
            </w:r>
            <w:proofErr w:type="spellEnd"/>
            <w:r w:rsidRPr="00A746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746EA">
              <w:rPr>
                <w:rFonts w:ascii="Times New Roman" w:hAnsi="Times New Roman" w:cs="Times New Roman"/>
                <w:sz w:val="28"/>
                <w:szCs w:val="28"/>
              </w:rPr>
              <w:t>Рівень</w:t>
            </w:r>
            <w:proofErr w:type="spellEnd"/>
            <w:r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46EA">
              <w:rPr>
                <w:rFonts w:ascii="Times New Roman" w:hAnsi="Times New Roman" w:cs="Times New Roman"/>
                <w:sz w:val="28"/>
                <w:szCs w:val="28"/>
              </w:rPr>
              <w:t>навантаження</w:t>
            </w:r>
            <w:proofErr w:type="spellEnd"/>
            <w:r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42" w:type="dxa"/>
          </w:tcPr>
          <w:p w14:paraId="56BC7B1C" w14:textId="77777777" w:rsidR="00802CC9" w:rsidRPr="00A746EA" w:rsidRDefault="00802CC9" w:rsidP="00A746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46EA">
              <w:rPr>
                <w:rFonts w:ascii="Times New Roman" w:hAnsi="Times New Roman" w:cs="Times New Roman"/>
                <w:sz w:val="28"/>
                <w:szCs w:val="28"/>
              </w:rPr>
              <w:t>Кпит.пер</w:t>
            </w:r>
            <w:proofErr w:type="spellEnd"/>
            <w:r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42" w:type="dxa"/>
          </w:tcPr>
          <w:p w14:paraId="17CBC6C7" w14:textId="77777777" w:rsidR="00802CC9" w:rsidRPr="00A746EA" w:rsidRDefault="00802CC9" w:rsidP="00A746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ІТНВО </w:t>
            </w:r>
          </w:p>
        </w:tc>
      </w:tr>
      <w:tr w:rsidR="00802CC9" w:rsidRPr="00A746EA" w14:paraId="249C26E0" w14:textId="77777777" w:rsidTr="0092347E">
        <w:trPr>
          <w:trHeight w:val="127"/>
          <w:jc w:val="center"/>
        </w:trPr>
        <w:tc>
          <w:tcPr>
            <w:tcW w:w="2742" w:type="dxa"/>
          </w:tcPr>
          <w:p w14:paraId="25478A11" w14:textId="77777777" w:rsidR="00802CC9" w:rsidRPr="00A746EA" w:rsidRDefault="00802CC9" w:rsidP="00A746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46EA">
              <w:rPr>
                <w:rFonts w:ascii="Times New Roman" w:hAnsi="Times New Roman" w:cs="Times New Roman"/>
                <w:sz w:val="28"/>
                <w:szCs w:val="28"/>
              </w:rPr>
              <w:t>Незначний</w:t>
            </w:r>
            <w:proofErr w:type="spellEnd"/>
            <w:r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42" w:type="dxa"/>
          </w:tcPr>
          <w:p w14:paraId="44886AA5" w14:textId="77777777" w:rsidR="00802CC9" w:rsidRPr="00A746EA" w:rsidRDefault="00802CC9" w:rsidP="00A746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&lt;1 </w:t>
            </w:r>
          </w:p>
        </w:tc>
        <w:tc>
          <w:tcPr>
            <w:tcW w:w="2742" w:type="dxa"/>
          </w:tcPr>
          <w:p w14:paraId="407005D2" w14:textId="77777777" w:rsidR="00802CC9" w:rsidRPr="00A746EA" w:rsidRDefault="00802CC9" w:rsidP="00A746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&lt;2 </w:t>
            </w:r>
          </w:p>
        </w:tc>
      </w:tr>
      <w:tr w:rsidR="00802CC9" w:rsidRPr="00A746EA" w14:paraId="2DF95417" w14:textId="77777777" w:rsidTr="0092347E">
        <w:trPr>
          <w:trHeight w:val="127"/>
          <w:jc w:val="center"/>
        </w:trPr>
        <w:tc>
          <w:tcPr>
            <w:tcW w:w="2742" w:type="dxa"/>
          </w:tcPr>
          <w:p w14:paraId="158C3432" w14:textId="77777777" w:rsidR="00802CC9" w:rsidRPr="00A746EA" w:rsidRDefault="00802CC9" w:rsidP="00A746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46EA">
              <w:rPr>
                <w:rFonts w:ascii="Times New Roman" w:hAnsi="Times New Roman" w:cs="Times New Roman"/>
                <w:sz w:val="28"/>
                <w:szCs w:val="28"/>
              </w:rPr>
              <w:t>Низький</w:t>
            </w:r>
            <w:proofErr w:type="spellEnd"/>
            <w:r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42" w:type="dxa"/>
          </w:tcPr>
          <w:p w14:paraId="3EBB2D51" w14:textId="77777777" w:rsidR="00802CC9" w:rsidRPr="00A746EA" w:rsidRDefault="00802CC9" w:rsidP="00A746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1-5 </w:t>
            </w:r>
          </w:p>
        </w:tc>
        <w:tc>
          <w:tcPr>
            <w:tcW w:w="2742" w:type="dxa"/>
          </w:tcPr>
          <w:p w14:paraId="2DC65D62" w14:textId="77777777" w:rsidR="00802CC9" w:rsidRPr="00A746EA" w:rsidRDefault="00802CC9" w:rsidP="00A746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2-8 </w:t>
            </w:r>
          </w:p>
        </w:tc>
      </w:tr>
      <w:tr w:rsidR="00802CC9" w:rsidRPr="00A746EA" w14:paraId="297E9612" w14:textId="77777777" w:rsidTr="0092347E">
        <w:trPr>
          <w:trHeight w:val="127"/>
          <w:jc w:val="center"/>
        </w:trPr>
        <w:tc>
          <w:tcPr>
            <w:tcW w:w="2742" w:type="dxa"/>
          </w:tcPr>
          <w:p w14:paraId="511BC7E0" w14:textId="77777777" w:rsidR="00802CC9" w:rsidRPr="00A746EA" w:rsidRDefault="00802CC9" w:rsidP="00A746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46EA">
              <w:rPr>
                <w:rFonts w:ascii="Times New Roman" w:hAnsi="Times New Roman" w:cs="Times New Roman"/>
                <w:sz w:val="28"/>
                <w:szCs w:val="28"/>
              </w:rPr>
              <w:t>Середній</w:t>
            </w:r>
            <w:proofErr w:type="spellEnd"/>
            <w:r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42" w:type="dxa"/>
          </w:tcPr>
          <w:p w14:paraId="31CFCE31" w14:textId="77777777" w:rsidR="00802CC9" w:rsidRPr="00A746EA" w:rsidRDefault="00802CC9" w:rsidP="00A746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5-10 </w:t>
            </w:r>
          </w:p>
        </w:tc>
        <w:tc>
          <w:tcPr>
            <w:tcW w:w="2742" w:type="dxa"/>
          </w:tcPr>
          <w:p w14:paraId="0C260446" w14:textId="77777777" w:rsidR="00802CC9" w:rsidRPr="00A746EA" w:rsidRDefault="00802CC9" w:rsidP="00A746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8-16 </w:t>
            </w:r>
          </w:p>
        </w:tc>
      </w:tr>
      <w:tr w:rsidR="00802CC9" w:rsidRPr="00A746EA" w14:paraId="25AE94EA" w14:textId="77777777" w:rsidTr="0092347E">
        <w:trPr>
          <w:trHeight w:val="127"/>
          <w:jc w:val="center"/>
        </w:trPr>
        <w:tc>
          <w:tcPr>
            <w:tcW w:w="2742" w:type="dxa"/>
          </w:tcPr>
          <w:p w14:paraId="7850038E" w14:textId="77777777" w:rsidR="00802CC9" w:rsidRPr="00A746EA" w:rsidRDefault="00802CC9" w:rsidP="00A746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46EA">
              <w:rPr>
                <w:rFonts w:ascii="Times New Roman" w:hAnsi="Times New Roman" w:cs="Times New Roman"/>
                <w:sz w:val="28"/>
                <w:szCs w:val="28"/>
              </w:rPr>
              <w:t>Високий</w:t>
            </w:r>
            <w:proofErr w:type="spellEnd"/>
            <w:r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42" w:type="dxa"/>
          </w:tcPr>
          <w:p w14:paraId="30A568AE" w14:textId="77777777" w:rsidR="00802CC9" w:rsidRPr="00A746EA" w:rsidRDefault="00802CC9" w:rsidP="00A746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10-20 </w:t>
            </w:r>
          </w:p>
        </w:tc>
        <w:tc>
          <w:tcPr>
            <w:tcW w:w="2742" w:type="dxa"/>
          </w:tcPr>
          <w:p w14:paraId="54ADAC0F" w14:textId="77777777" w:rsidR="00802CC9" w:rsidRPr="00A746EA" w:rsidRDefault="00802CC9" w:rsidP="00A746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16-33 </w:t>
            </w:r>
          </w:p>
        </w:tc>
      </w:tr>
      <w:tr w:rsidR="00802CC9" w:rsidRPr="00A746EA" w14:paraId="3F08C158" w14:textId="77777777" w:rsidTr="0092347E">
        <w:trPr>
          <w:trHeight w:val="127"/>
          <w:jc w:val="center"/>
        </w:trPr>
        <w:tc>
          <w:tcPr>
            <w:tcW w:w="2742" w:type="dxa"/>
          </w:tcPr>
          <w:p w14:paraId="3593AA34" w14:textId="77777777" w:rsidR="00802CC9" w:rsidRPr="00A746EA" w:rsidRDefault="00802CC9" w:rsidP="00A746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46EA">
              <w:rPr>
                <w:rFonts w:ascii="Times New Roman" w:hAnsi="Times New Roman" w:cs="Times New Roman"/>
                <w:sz w:val="28"/>
                <w:szCs w:val="28"/>
              </w:rPr>
              <w:t>Критичний</w:t>
            </w:r>
            <w:proofErr w:type="spellEnd"/>
            <w:r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42" w:type="dxa"/>
          </w:tcPr>
          <w:p w14:paraId="7CF55485" w14:textId="77777777" w:rsidR="00802CC9" w:rsidRPr="00A746EA" w:rsidRDefault="00802CC9" w:rsidP="00A746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&gt;20 </w:t>
            </w:r>
          </w:p>
        </w:tc>
        <w:tc>
          <w:tcPr>
            <w:tcW w:w="2742" w:type="dxa"/>
          </w:tcPr>
          <w:p w14:paraId="6AB86508" w14:textId="77777777" w:rsidR="00802CC9" w:rsidRPr="00A746EA" w:rsidRDefault="00802CC9" w:rsidP="00A746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&gt;33 </w:t>
            </w:r>
          </w:p>
        </w:tc>
      </w:tr>
    </w:tbl>
    <w:p w14:paraId="0B97E3CD" w14:textId="77777777" w:rsidR="00802CC9" w:rsidRPr="00A746EA" w:rsidRDefault="00802CC9" w:rsidP="0092347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одним з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підходів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оцінка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водоспоживання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водовідведення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регіоні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застосуванням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таких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коефіцієнтів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D0AD9A8" w14:textId="77777777" w:rsidR="00802CC9" w:rsidRPr="00A746EA" w:rsidRDefault="00802CC9" w:rsidP="00A746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46EA">
        <w:rPr>
          <w:rFonts w:ascii="Times New Roman" w:hAnsi="Times New Roman" w:cs="Times New Roman"/>
          <w:sz w:val="28"/>
          <w:szCs w:val="28"/>
        </w:rPr>
        <w:t xml:space="preserve">−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коефіцієнт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водопостачання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4CE5FD" w14:textId="3CD4E8FE" w:rsidR="00802CC9" w:rsidRPr="00A746EA" w:rsidRDefault="0092347E" w:rsidP="009234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2347E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3B99C6A3" wp14:editId="45A25E0A">
            <wp:extent cx="1438275" cy="4191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2CC9" w:rsidRPr="00A746EA">
        <w:rPr>
          <w:rFonts w:ascii="Times New Roman" w:hAnsi="Times New Roman" w:cs="Times New Roman"/>
          <w:sz w:val="28"/>
          <w:szCs w:val="28"/>
        </w:rPr>
        <w:t>, (12.7)</w:t>
      </w:r>
    </w:p>
    <w:p w14:paraId="151FDA3A" w14:textId="77777777" w:rsidR="00802CC9" w:rsidRPr="00A746EA" w:rsidRDefault="00802CC9" w:rsidP="00A746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46EA">
        <w:rPr>
          <w:rFonts w:ascii="Times New Roman" w:hAnsi="Times New Roman" w:cs="Times New Roman"/>
          <w:sz w:val="28"/>
          <w:szCs w:val="28"/>
        </w:rPr>
        <w:t xml:space="preserve">−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коефіцієнт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водовідведення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03A935" w14:textId="1D260967" w:rsidR="00802CC9" w:rsidRPr="00A746EA" w:rsidRDefault="0092347E" w:rsidP="009234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2347E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4B2F0095" wp14:editId="24C068D5">
            <wp:extent cx="1743075" cy="43815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2CC9" w:rsidRPr="00A746EA">
        <w:rPr>
          <w:rFonts w:ascii="Times New Roman" w:hAnsi="Times New Roman" w:cs="Times New Roman"/>
          <w:sz w:val="28"/>
          <w:szCs w:val="28"/>
        </w:rPr>
        <w:t>, (12.8)</w:t>
      </w:r>
    </w:p>
    <w:p w14:paraId="617F0A54" w14:textId="77777777" w:rsidR="00802CC9" w:rsidRPr="00A746EA" w:rsidRDefault="00802CC9" w:rsidP="00A746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46EA">
        <w:rPr>
          <w:rFonts w:ascii="Times New Roman" w:hAnsi="Times New Roman" w:cs="Times New Roman"/>
          <w:sz w:val="28"/>
          <w:szCs w:val="28"/>
        </w:rPr>
        <w:t xml:space="preserve">−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комплексний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коефіцієнт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водокористування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BC1B92" w14:textId="6C8080EF" w:rsidR="00802CC9" w:rsidRPr="00A746EA" w:rsidRDefault="0092347E" w:rsidP="009234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2347E">
        <w:rPr>
          <w:sz w:val="36"/>
          <w:szCs w:val="36"/>
        </w:rPr>
        <w:t>К</w:t>
      </w:r>
      <w:r>
        <w:rPr>
          <w:sz w:val="28"/>
          <w:szCs w:val="28"/>
        </w:rPr>
        <w:t>=</w:t>
      </w:r>
      <w:r w:rsidRPr="0092347E">
        <w:rPr>
          <w:sz w:val="36"/>
          <w:szCs w:val="36"/>
        </w:rPr>
        <w:t>К</w:t>
      </w:r>
      <w:r>
        <w:rPr>
          <w:sz w:val="18"/>
          <w:szCs w:val="18"/>
        </w:rPr>
        <w:t>1</w:t>
      </w:r>
      <w:r>
        <w:rPr>
          <w:sz w:val="28"/>
          <w:szCs w:val="28"/>
        </w:rPr>
        <w:t>·</w:t>
      </w:r>
      <w:r w:rsidRPr="0092347E">
        <w:rPr>
          <w:sz w:val="36"/>
          <w:szCs w:val="36"/>
        </w:rPr>
        <w:t>К</w:t>
      </w:r>
      <w:proofErr w:type="gramStart"/>
      <w:r>
        <w:rPr>
          <w:sz w:val="18"/>
          <w:szCs w:val="18"/>
        </w:rPr>
        <w:t>2</w:t>
      </w:r>
      <w:r>
        <w:rPr>
          <w:sz w:val="28"/>
          <w:szCs w:val="28"/>
        </w:rPr>
        <w:t>,</w:t>
      </w:r>
      <w:r w:rsidR="00802CC9" w:rsidRPr="00A746E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802CC9" w:rsidRPr="00A746EA">
        <w:rPr>
          <w:rFonts w:ascii="Times New Roman" w:hAnsi="Times New Roman" w:cs="Times New Roman"/>
          <w:sz w:val="28"/>
          <w:szCs w:val="28"/>
        </w:rPr>
        <w:t xml:space="preserve"> (12.9)</w:t>
      </w:r>
    </w:p>
    <w:p w14:paraId="087AA5D4" w14:textId="77777777" w:rsidR="00802CC9" w:rsidRPr="00A746EA" w:rsidRDefault="00802CC9" w:rsidP="00A746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46EA">
        <w:rPr>
          <w:rFonts w:ascii="Times New Roman" w:hAnsi="Times New Roman" w:cs="Times New Roman"/>
          <w:sz w:val="28"/>
          <w:szCs w:val="28"/>
        </w:rPr>
        <w:t xml:space="preserve">де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Qзаб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забір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води з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природних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водних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джерел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, млн. м3; </w:t>
      </w:r>
    </w:p>
    <w:p w14:paraId="64387E2B" w14:textId="77777777" w:rsidR="00802CC9" w:rsidRPr="00A746EA" w:rsidRDefault="00802CC9" w:rsidP="00A746E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746EA">
        <w:rPr>
          <w:rFonts w:ascii="Times New Roman" w:hAnsi="Times New Roman" w:cs="Times New Roman"/>
          <w:sz w:val="28"/>
          <w:szCs w:val="28"/>
        </w:rPr>
        <w:t>Qвтр.тр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втрати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води при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транспортуванні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, млн. м3; </w:t>
      </w:r>
    </w:p>
    <w:p w14:paraId="664D34C0" w14:textId="77777777" w:rsidR="00802CC9" w:rsidRPr="00A746EA" w:rsidRDefault="00802CC9" w:rsidP="00A746E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746EA">
        <w:rPr>
          <w:rFonts w:ascii="Times New Roman" w:hAnsi="Times New Roman" w:cs="Times New Roman"/>
          <w:sz w:val="28"/>
          <w:szCs w:val="28"/>
        </w:rPr>
        <w:t>Qб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/оч. –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скидання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СВ без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очищення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, млн. м3; </w:t>
      </w:r>
    </w:p>
    <w:p w14:paraId="3AED90A1" w14:textId="77777777" w:rsidR="00802CC9" w:rsidRPr="00A746EA" w:rsidRDefault="00802CC9" w:rsidP="00A746E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746EA">
        <w:rPr>
          <w:rFonts w:ascii="Times New Roman" w:hAnsi="Times New Roman" w:cs="Times New Roman"/>
          <w:sz w:val="28"/>
          <w:szCs w:val="28"/>
        </w:rPr>
        <w:t>Qск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скидання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СВ у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водні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об'єкти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, млн. м3; </w:t>
      </w:r>
    </w:p>
    <w:p w14:paraId="46D23306" w14:textId="77777777" w:rsidR="00802CC9" w:rsidRPr="00A746EA" w:rsidRDefault="00802CC9" w:rsidP="00A746E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746EA">
        <w:rPr>
          <w:rFonts w:ascii="Times New Roman" w:hAnsi="Times New Roman" w:cs="Times New Roman"/>
          <w:sz w:val="28"/>
          <w:szCs w:val="28"/>
        </w:rPr>
        <w:lastRenderedPageBreak/>
        <w:t>Qн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чис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обсяг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нормативно-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чистих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потребують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очищення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) СВ,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скидаються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водні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об'єкти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, млн. м3. </w:t>
      </w:r>
    </w:p>
    <w:p w14:paraId="1AB28722" w14:textId="77777777" w:rsidR="0092347E" w:rsidRDefault="0092347E" w:rsidP="00A746E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8FC5269" w14:textId="4DF6F313" w:rsidR="00802CC9" w:rsidRPr="00A746EA" w:rsidRDefault="00802CC9" w:rsidP="009234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746EA">
        <w:rPr>
          <w:rFonts w:ascii="Times New Roman" w:hAnsi="Times New Roman" w:cs="Times New Roman"/>
          <w:b/>
          <w:bCs/>
          <w:sz w:val="28"/>
          <w:szCs w:val="28"/>
        </w:rPr>
        <w:t xml:space="preserve">Практична </w:t>
      </w:r>
      <w:proofErr w:type="spellStart"/>
      <w:r w:rsidRPr="00A746EA">
        <w:rPr>
          <w:rFonts w:ascii="Times New Roman" w:hAnsi="Times New Roman" w:cs="Times New Roman"/>
          <w:b/>
          <w:bCs/>
          <w:sz w:val="28"/>
          <w:szCs w:val="28"/>
        </w:rPr>
        <w:t>частина</w:t>
      </w:r>
      <w:proofErr w:type="spellEnd"/>
    </w:p>
    <w:p w14:paraId="52F248D4" w14:textId="15D803EF" w:rsidR="00802CC9" w:rsidRDefault="00802CC9" w:rsidP="00A746E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746EA">
        <w:rPr>
          <w:rFonts w:ascii="Times New Roman" w:hAnsi="Times New Roman" w:cs="Times New Roman"/>
          <w:b/>
          <w:bCs/>
          <w:sz w:val="28"/>
          <w:szCs w:val="28"/>
        </w:rPr>
        <w:t>Завдання</w:t>
      </w:r>
      <w:proofErr w:type="spellEnd"/>
      <w:r w:rsidRPr="00A746EA">
        <w:rPr>
          <w:rFonts w:ascii="Times New Roman" w:hAnsi="Times New Roman" w:cs="Times New Roman"/>
          <w:b/>
          <w:bCs/>
          <w:sz w:val="28"/>
          <w:szCs w:val="28"/>
        </w:rPr>
        <w:t xml:space="preserve"> 1.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Виконати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оцінку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водокористування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регіонах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E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A746E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B1BAE1C" w14:textId="77777777" w:rsidR="0092347E" w:rsidRPr="00A746EA" w:rsidRDefault="0092347E" w:rsidP="00A746E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00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843"/>
        <w:gridCol w:w="1265"/>
        <w:gridCol w:w="11"/>
        <w:gridCol w:w="1275"/>
        <w:gridCol w:w="21"/>
        <w:gridCol w:w="1255"/>
        <w:gridCol w:w="52"/>
        <w:gridCol w:w="1307"/>
        <w:gridCol w:w="59"/>
        <w:gridCol w:w="1245"/>
        <w:gridCol w:w="12"/>
        <w:gridCol w:w="17"/>
      </w:tblGrid>
      <w:tr w:rsidR="00802CC9" w:rsidRPr="00A746EA" w14:paraId="0239AC25" w14:textId="77777777" w:rsidTr="00010FDC">
        <w:trPr>
          <w:trHeight w:val="132"/>
        </w:trPr>
        <w:tc>
          <w:tcPr>
            <w:tcW w:w="1701" w:type="dxa"/>
          </w:tcPr>
          <w:p w14:paraId="33E0E02E" w14:textId="77777777" w:rsidR="00802CC9" w:rsidRPr="00A746EA" w:rsidRDefault="00802CC9" w:rsidP="00010FDC">
            <w:pPr>
              <w:spacing w:after="0"/>
              <w:ind w:right="-24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46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Показники</w:t>
            </w:r>
            <w:proofErr w:type="spellEnd"/>
            <w:r w:rsidRPr="00A746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746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водоспоживання</w:t>
            </w:r>
            <w:proofErr w:type="spellEnd"/>
            <w:r w:rsidRPr="00A746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і </w:t>
            </w:r>
            <w:proofErr w:type="spellStart"/>
            <w:r w:rsidRPr="00A746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водовідведення</w:t>
            </w:r>
            <w:proofErr w:type="spellEnd"/>
            <w:r w:rsidRPr="00A746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 областях </w:t>
            </w:r>
            <w:proofErr w:type="spellStart"/>
            <w:r w:rsidRPr="00A746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Західної</w:t>
            </w:r>
            <w:proofErr w:type="spellEnd"/>
            <w:r w:rsidRPr="00A746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746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України</w:t>
            </w:r>
            <w:proofErr w:type="spellEnd"/>
            <w:r w:rsidRPr="00A746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млн. м3 </w:t>
            </w:r>
            <w:r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Область </w:t>
            </w:r>
          </w:p>
        </w:tc>
        <w:tc>
          <w:tcPr>
            <w:tcW w:w="1843" w:type="dxa"/>
          </w:tcPr>
          <w:p w14:paraId="55052584" w14:textId="77777777" w:rsidR="00802CC9" w:rsidRPr="00A746EA" w:rsidRDefault="00802CC9" w:rsidP="00A746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46EA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  <w:r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65" w:type="dxa"/>
          </w:tcPr>
          <w:p w14:paraId="417D2CDE" w14:textId="77777777" w:rsidR="00802CC9" w:rsidRPr="00A746EA" w:rsidRDefault="00802CC9" w:rsidP="00A746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46EA">
              <w:rPr>
                <w:rFonts w:ascii="Times New Roman" w:hAnsi="Times New Roman" w:cs="Times New Roman"/>
                <w:sz w:val="28"/>
                <w:szCs w:val="28"/>
              </w:rPr>
              <w:t>Qзаб</w:t>
            </w:r>
            <w:proofErr w:type="spellEnd"/>
            <w:r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307" w:type="dxa"/>
            <w:gridSpan w:val="3"/>
          </w:tcPr>
          <w:p w14:paraId="7A2F1A69" w14:textId="77777777" w:rsidR="00802CC9" w:rsidRPr="00A746EA" w:rsidRDefault="00802CC9" w:rsidP="00A746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46EA">
              <w:rPr>
                <w:rFonts w:ascii="Times New Roman" w:hAnsi="Times New Roman" w:cs="Times New Roman"/>
                <w:sz w:val="28"/>
                <w:szCs w:val="28"/>
              </w:rPr>
              <w:t>Qвтр.тр</w:t>
            </w:r>
            <w:proofErr w:type="spellEnd"/>
            <w:r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307" w:type="dxa"/>
            <w:gridSpan w:val="2"/>
          </w:tcPr>
          <w:p w14:paraId="7C151F35" w14:textId="77777777" w:rsidR="00802CC9" w:rsidRPr="00A746EA" w:rsidRDefault="00802CC9" w:rsidP="00A746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46EA">
              <w:rPr>
                <w:rFonts w:ascii="Times New Roman" w:hAnsi="Times New Roman" w:cs="Times New Roman"/>
                <w:sz w:val="28"/>
                <w:szCs w:val="28"/>
              </w:rPr>
              <w:t>Qб</w:t>
            </w:r>
            <w:proofErr w:type="spellEnd"/>
            <w:r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/оч. </w:t>
            </w:r>
          </w:p>
        </w:tc>
        <w:tc>
          <w:tcPr>
            <w:tcW w:w="1307" w:type="dxa"/>
          </w:tcPr>
          <w:p w14:paraId="515B3834" w14:textId="77777777" w:rsidR="00802CC9" w:rsidRPr="00A746EA" w:rsidRDefault="00802CC9" w:rsidP="00A746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46EA">
              <w:rPr>
                <w:rFonts w:ascii="Times New Roman" w:hAnsi="Times New Roman" w:cs="Times New Roman"/>
                <w:sz w:val="28"/>
                <w:szCs w:val="28"/>
              </w:rPr>
              <w:t>Qск</w:t>
            </w:r>
            <w:proofErr w:type="spellEnd"/>
            <w:r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333" w:type="dxa"/>
            <w:gridSpan w:val="4"/>
          </w:tcPr>
          <w:p w14:paraId="3387F7C9" w14:textId="77777777" w:rsidR="00802CC9" w:rsidRPr="00A746EA" w:rsidRDefault="00802CC9" w:rsidP="00A746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46EA">
              <w:rPr>
                <w:rFonts w:ascii="Times New Roman" w:hAnsi="Times New Roman" w:cs="Times New Roman"/>
                <w:sz w:val="28"/>
                <w:szCs w:val="28"/>
              </w:rPr>
              <w:t>Qн</w:t>
            </w:r>
            <w:proofErr w:type="spellEnd"/>
            <w:r w:rsidRPr="00A746E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746EA">
              <w:rPr>
                <w:rFonts w:ascii="Times New Roman" w:hAnsi="Times New Roman" w:cs="Times New Roman"/>
                <w:sz w:val="28"/>
                <w:szCs w:val="28"/>
              </w:rPr>
              <w:t>чис</w:t>
            </w:r>
            <w:proofErr w:type="spellEnd"/>
            <w:r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802CC9" w:rsidRPr="00A746EA" w14:paraId="7D404B9B" w14:textId="77777777" w:rsidTr="00010FDC">
        <w:trPr>
          <w:trHeight w:val="127"/>
        </w:trPr>
        <w:tc>
          <w:tcPr>
            <w:tcW w:w="1701" w:type="dxa"/>
          </w:tcPr>
          <w:p w14:paraId="798DBDE9" w14:textId="77777777" w:rsidR="00802CC9" w:rsidRPr="00A746EA" w:rsidRDefault="00802CC9" w:rsidP="00A746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46EA">
              <w:rPr>
                <w:rFonts w:ascii="Times New Roman" w:hAnsi="Times New Roman" w:cs="Times New Roman"/>
                <w:sz w:val="28"/>
                <w:szCs w:val="28"/>
              </w:rPr>
              <w:t>Волинська</w:t>
            </w:r>
            <w:proofErr w:type="spellEnd"/>
            <w:r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14:paraId="4DBB95DF" w14:textId="77777777" w:rsidR="00802CC9" w:rsidRPr="00A746EA" w:rsidRDefault="00802CC9" w:rsidP="00A746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2019 </w:t>
            </w:r>
          </w:p>
        </w:tc>
        <w:tc>
          <w:tcPr>
            <w:tcW w:w="1265" w:type="dxa"/>
          </w:tcPr>
          <w:p w14:paraId="30717117" w14:textId="77777777" w:rsidR="00802CC9" w:rsidRPr="00A746EA" w:rsidRDefault="00802CC9" w:rsidP="00A746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71,18 </w:t>
            </w:r>
          </w:p>
        </w:tc>
        <w:tc>
          <w:tcPr>
            <w:tcW w:w="1307" w:type="dxa"/>
            <w:gridSpan w:val="3"/>
          </w:tcPr>
          <w:p w14:paraId="0B0C5A79" w14:textId="77777777" w:rsidR="00802CC9" w:rsidRPr="00A746EA" w:rsidRDefault="00802CC9" w:rsidP="00A746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8,03 </w:t>
            </w:r>
          </w:p>
        </w:tc>
        <w:tc>
          <w:tcPr>
            <w:tcW w:w="1307" w:type="dxa"/>
            <w:gridSpan w:val="2"/>
          </w:tcPr>
          <w:p w14:paraId="73F782A2" w14:textId="77777777" w:rsidR="00802CC9" w:rsidRPr="00A746EA" w:rsidRDefault="00802CC9" w:rsidP="00A746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0,01 </w:t>
            </w:r>
          </w:p>
        </w:tc>
        <w:tc>
          <w:tcPr>
            <w:tcW w:w="1307" w:type="dxa"/>
          </w:tcPr>
          <w:p w14:paraId="795B8745" w14:textId="77777777" w:rsidR="00802CC9" w:rsidRPr="00A746EA" w:rsidRDefault="00802CC9" w:rsidP="00A746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29,82 </w:t>
            </w:r>
          </w:p>
        </w:tc>
        <w:tc>
          <w:tcPr>
            <w:tcW w:w="1333" w:type="dxa"/>
            <w:gridSpan w:val="4"/>
          </w:tcPr>
          <w:p w14:paraId="47615D2C" w14:textId="77777777" w:rsidR="00802CC9" w:rsidRPr="00A746EA" w:rsidRDefault="00802CC9" w:rsidP="00A746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5,88 </w:t>
            </w:r>
          </w:p>
        </w:tc>
      </w:tr>
      <w:tr w:rsidR="00802CC9" w:rsidRPr="00A746EA" w14:paraId="6F1B96CA" w14:textId="77777777" w:rsidTr="00010FDC">
        <w:trPr>
          <w:gridAfter w:val="2"/>
          <w:wAfter w:w="29" w:type="dxa"/>
          <w:trHeight w:val="127"/>
        </w:trPr>
        <w:tc>
          <w:tcPr>
            <w:tcW w:w="1701" w:type="dxa"/>
          </w:tcPr>
          <w:p w14:paraId="67AE9071" w14:textId="77777777" w:rsidR="00802CC9" w:rsidRPr="00A746EA" w:rsidRDefault="00802CC9" w:rsidP="00A746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область </w:t>
            </w:r>
          </w:p>
        </w:tc>
        <w:tc>
          <w:tcPr>
            <w:tcW w:w="1843" w:type="dxa"/>
          </w:tcPr>
          <w:p w14:paraId="2EE8288D" w14:textId="77777777" w:rsidR="00802CC9" w:rsidRPr="00A746EA" w:rsidRDefault="00802CC9" w:rsidP="00A746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2020 </w:t>
            </w:r>
          </w:p>
        </w:tc>
        <w:tc>
          <w:tcPr>
            <w:tcW w:w="1265" w:type="dxa"/>
          </w:tcPr>
          <w:p w14:paraId="1B687979" w14:textId="77777777" w:rsidR="00802CC9" w:rsidRPr="00A746EA" w:rsidRDefault="00802CC9" w:rsidP="00A746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69,24 </w:t>
            </w:r>
          </w:p>
        </w:tc>
        <w:tc>
          <w:tcPr>
            <w:tcW w:w="1307" w:type="dxa"/>
            <w:gridSpan w:val="3"/>
          </w:tcPr>
          <w:p w14:paraId="1208DF0B" w14:textId="77777777" w:rsidR="00802CC9" w:rsidRPr="00A746EA" w:rsidRDefault="00802CC9" w:rsidP="00A746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9,0 </w:t>
            </w:r>
          </w:p>
        </w:tc>
        <w:tc>
          <w:tcPr>
            <w:tcW w:w="1307" w:type="dxa"/>
            <w:gridSpan w:val="2"/>
          </w:tcPr>
          <w:p w14:paraId="7961526E" w14:textId="77777777" w:rsidR="00802CC9" w:rsidRPr="00A746EA" w:rsidRDefault="00802CC9" w:rsidP="00A746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0,428 </w:t>
            </w:r>
          </w:p>
        </w:tc>
        <w:tc>
          <w:tcPr>
            <w:tcW w:w="1307" w:type="dxa"/>
          </w:tcPr>
          <w:p w14:paraId="25A430F6" w14:textId="77777777" w:rsidR="00802CC9" w:rsidRPr="00A746EA" w:rsidRDefault="00802CC9" w:rsidP="00A746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28,4 </w:t>
            </w:r>
          </w:p>
        </w:tc>
        <w:tc>
          <w:tcPr>
            <w:tcW w:w="1304" w:type="dxa"/>
            <w:gridSpan w:val="2"/>
          </w:tcPr>
          <w:p w14:paraId="26F70F88" w14:textId="77777777" w:rsidR="00802CC9" w:rsidRPr="00A746EA" w:rsidRDefault="00802CC9" w:rsidP="00A746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4,833 </w:t>
            </w:r>
          </w:p>
        </w:tc>
      </w:tr>
      <w:tr w:rsidR="00802CC9" w:rsidRPr="00A746EA" w14:paraId="3AB6BFA0" w14:textId="77777777" w:rsidTr="00010FDC">
        <w:trPr>
          <w:gridAfter w:val="1"/>
          <w:wAfter w:w="17" w:type="dxa"/>
          <w:trHeight w:val="127"/>
        </w:trPr>
        <w:tc>
          <w:tcPr>
            <w:tcW w:w="3544" w:type="dxa"/>
            <w:gridSpan w:val="2"/>
          </w:tcPr>
          <w:p w14:paraId="1074C10A" w14:textId="3D9AA110" w:rsidR="00802CC9" w:rsidRPr="00A746EA" w:rsidRDefault="00010FDC" w:rsidP="00010FDC">
            <w:pPr>
              <w:spacing w:after="0"/>
              <w:ind w:left="1620" w:right="-26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802CC9"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2021 </w:t>
            </w:r>
          </w:p>
        </w:tc>
        <w:tc>
          <w:tcPr>
            <w:tcW w:w="1276" w:type="dxa"/>
            <w:gridSpan w:val="2"/>
          </w:tcPr>
          <w:p w14:paraId="6A1E67A2" w14:textId="77777777" w:rsidR="00802CC9" w:rsidRPr="00A746EA" w:rsidRDefault="00802CC9" w:rsidP="00A746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67,69 </w:t>
            </w:r>
          </w:p>
        </w:tc>
        <w:tc>
          <w:tcPr>
            <w:tcW w:w="1275" w:type="dxa"/>
          </w:tcPr>
          <w:p w14:paraId="2B7AAB3D" w14:textId="77777777" w:rsidR="00802CC9" w:rsidRPr="00A746EA" w:rsidRDefault="00802CC9" w:rsidP="00A746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8,311 </w:t>
            </w:r>
          </w:p>
        </w:tc>
        <w:tc>
          <w:tcPr>
            <w:tcW w:w="1276" w:type="dxa"/>
            <w:gridSpan w:val="2"/>
          </w:tcPr>
          <w:p w14:paraId="1C080087" w14:textId="77777777" w:rsidR="00802CC9" w:rsidRPr="00A746EA" w:rsidRDefault="00802CC9" w:rsidP="00A746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0,425 </w:t>
            </w:r>
          </w:p>
        </w:tc>
        <w:tc>
          <w:tcPr>
            <w:tcW w:w="1418" w:type="dxa"/>
            <w:gridSpan w:val="3"/>
          </w:tcPr>
          <w:p w14:paraId="7A090BD0" w14:textId="77777777" w:rsidR="00802CC9" w:rsidRPr="00A746EA" w:rsidRDefault="00802CC9" w:rsidP="00A746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29,1 </w:t>
            </w:r>
          </w:p>
        </w:tc>
        <w:tc>
          <w:tcPr>
            <w:tcW w:w="1257" w:type="dxa"/>
            <w:gridSpan w:val="2"/>
          </w:tcPr>
          <w:p w14:paraId="4817236C" w14:textId="77777777" w:rsidR="00802CC9" w:rsidRPr="00A746EA" w:rsidRDefault="00802CC9" w:rsidP="00A746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4,972 </w:t>
            </w:r>
          </w:p>
        </w:tc>
      </w:tr>
      <w:tr w:rsidR="00802CC9" w:rsidRPr="00A746EA" w14:paraId="1BB8E454" w14:textId="77777777" w:rsidTr="00010FDC">
        <w:trPr>
          <w:gridAfter w:val="2"/>
          <w:wAfter w:w="29" w:type="dxa"/>
          <w:trHeight w:val="307"/>
        </w:trPr>
        <w:tc>
          <w:tcPr>
            <w:tcW w:w="1701" w:type="dxa"/>
          </w:tcPr>
          <w:p w14:paraId="0FE22B5A" w14:textId="77777777" w:rsidR="00802CC9" w:rsidRPr="00A746EA" w:rsidRDefault="00802CC9" w:rsidP="00A746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46EA">
              <w:rPr>
                <w:rFonts w:ascii="Times New Roman" w:hAnsi="Times New Roman" w:cs="Times New Roman"/>
                <w:sz w:val="28"/>
                <w:szCs w:val="28"/>
              </w:rPr>
              <w:t>Закарпатська</w:t>
            </w:r>
            <w:proofErr w:type="spellEnd"/>
            <w:r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 область </w:t>
            </w:r>
          </w:p>
        </w:tc>
        <w:tc>
          <w:tcPr>
            <w:tcW w:w="1843" w:type="dxa"/>
          </w:tcPr>
          <w:p w14:paraId="72A5E772" w14:textId="77777777" w:rsidR="00802CC9" w:rsidRPr="00A746EA" w:rsidRDefault="00802CC9" w:rsidP="00A746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2019 </w:t>
            </w:r>
          </w:p>
        </w:tc>
        <w:tc>
          <w:tcPr>
            <w:tcW w:w="1265" w:type="dxa"/>
          </w:tcPr>
          <w:p w14:paraId="61ACF2C1" w14:textId="77777777" w:rsidR="00802CC9" w:rsidRPr="00A746EA" w:rsidRDefault="00802CC9" w:rsidP="00A746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46,01 </w:t>
            </w:r>
          </w:p>
        </w:tc>
        <w:tc>
          <w:tcPr>
            <w:tcW w:w="1307" w:type="dxa"/>
            <w:gridSpan w:val="3"/>
          </w:tcPr>
          <w:p w14:paraId="42E9B725" w14:textId="77777777" w:rsidR="00802CC9" w:rsidRPr="00A746EA" w:rsidRDefault="00802CC9" w:rsidP="00A746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9,97 </w:t>
            </w:r>
          </w:p>
        </w:tc>
        <w:tc>
          <w:tcPr>
            <w:tcW w:w="1307" w:type="dxa"/>
            <w:gridSpan w:val="2"/>
          </w:tcPr>
          <w:p w14:paraId="1B23E8E6" w14:textId="77777777" w:rsidR="00802CC9" w:rsidRPr="00A746EA" w:rsidRDefault="00802CC9" w:rsidP="00A746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0,379 </w:t>
            </w:r>
          </w:p>
        </w:tc>
        <w:tc>
          <w:tcPr>
            <w:tcW w:w="1307" w:type="dxa"/>
          </w:tcPr>
          <w:p w14:paraId="4BAA8CF5" w14:textId="77777777" w:rsidR="00802CC9" w:rsidRPr="00A746EA" w:rsidRDefault="00802CC9" w:rsidP="00A746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36,08 </w:t>
            </w:r>
          </w:p>
        </w:tc>
        <w:tc>
          <w:tcPr>
            <w:tcW w:w="1304" w:type="dxa"/>
            <w:gridSpan w:val="2"/>
          </w:tcPr>
          <w:p w14:paraId="68EE5ED4" w14:textId="77777777" w:rsidR="00802CC9" w:rsidRPr="00A746EA" w:rsidRDefault="00802CC9" w:rsidP="00A746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2,905 </w:t>
            </w:r>
          </w:p>
        </w:tc>
      </w:tr>
      <w:tr w:rsidR="00802CC9" w:rsidRPr="00A746EA" w14:paraId="4B0F9C13" w14:textId="77777777" w:rsidTr="00010FDC">
        <w:trPr>
          <w:gridAfter w:val="1"/>
          <w:wAfter w:w="17" w:type="dxa"/>
          <w:trHeight w:val="127"/>
        </w:trPr>
        <w:tc>
          <w:tcPr>
            <w:tcW w:w="3544" w:type="dxa"/>
            <w:gridSpan w:val="2"/>
          </w:tcPr>
          <w:p w14:paraId="1F1C20EA" w14:textId="2178D610" w:rsidR="00802CC9" w:rsidRPr="00A746EA" w:rsidRDefault="00010FDC" w:rsidP="0092347E">
            <w:pPr>
              <w:spacing w:after="0"/>
              <w:ind w:firstLine="11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</w:t>
            </w:r>
            <w:r w:rsidR="00802CC9"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2020 </w:t>
            </w:r>
          </w:p>
        </w:tc>
        <w:tc>
          <w:tcPr>
            <w:tcW w:w="1276" w:type="dxa"/>
            <w:gridSpan w:val="2"/>
          </w:tcPr>
          <w:p w14:paraId="152785E8" w14:textId="77777777" w:rsidR="00802CC9" w:rsidRPr="00A746EA" w:rsidRDefault="00802CC9" w:rsidP="00A746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47,2 </w:t>
            </w:r>
          </w:p>
        </w:tc>
        <w:tc>
          <w:tcPr>
            <w:tcW w:w="1275" w:type="dxa"/>
          </w:tcPr>
          <w:p w14:paraId="2848C10B" w14:textId="77777777" w:rsidR="00802CC9" w:rsidRPr="00A746EA" w:rsidRDefault="00802CC9" w:rsidP="00A746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9,38 </w:t>
            </w:r>
          </w:p>
        </w:tc>
        <w:tc>
          <w:tcPr>
            <w:tcW w:w="1276" w:type="dxa"/>
            <w:gridSpan w:val="2"/>
          </w:tcPr>
          <w:p w14:paraId="0A227979" w14:textId="77777777" w:rsidR="00802CC9" w:rsidRPr="00A746EA" w:rsidRDefault="00802CC9" w:rsidP="00A746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0,381 </w:t>
            </w:r>
          </w:p>
        </w:tc>
        <w:tc>
          <w:tcPr>
            <w:tcW w:w="1418" w:type="dxa"/>
            <w:gridSpan w:val="3"/>
          </w:tcPr>
          <w:p w14:paraId="679ACC74" w14:textId="77777777" w:rsidR="00802CC9" w:rsidRPr="00A746EA" w:rsidRDefault="00802CC9" w:rsidP="00A746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36,5 </w:t>
            </w:r>
          </w:p>
        </w:tc>
        <w:tc>
          <w:tcPr>
            <w:tcW w:w="1257" w:type="dxa"/>
            <w:gridSpan w:val="2"/>
          </w:tcPr>
          <w:p w14:paraId="38A27281" w14:textId="77777777" w:rsidR="00802CC9" w:rsidRPr="00A746EA" w:rsidRDefault="00802CC9" w:rsidP="00A746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3,907 </w:t>
            </w:r>
          </w:p>
        </w:tc>
      </w:tr>
      <w:tr w:rsidR="00802CC9" w:rsidRPr="00A746EA" w14:paraId="3218A5B6" w14:textId="77777777" w:rsidTr="00010FDC">
        <w:trPr>
          <w:gridAfter w:val="1"/>
          <w:wAfter w:w="17" w:type="dxa"/>
          <w:trHeight w:val="127"/>
        </w:trPr>
        <w:tc>
          <w:tcPr>
            <w:tcW w:w="3544" w:type="dxa"/>
            <w:gridSpan w:val="2"/>
          </w:tcPr>
          <w:p w14:paraId="30E35D3E" w14:textId="3F565791" w:rsidR="00802CC9" w:rsidRPr="00A746EA" w:rsidRDefault="00010FDC" w:rsidP="0092347E">
            <w:pPr>
              <w:spacing w:after="0"/>
              <w:ind w:firstLine="11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</w:t>
            </w:r>
            <w:r w:rsidR="00802CC9"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2021 </w:t>
            </w:r>
          </w:p>
        </w:tc>
        <w:tc>
          <w:tcPr>
            <w:tcW w:w="1276" w:type="dxa"/>
            <w:gridSpan w:val="2"/>
          </w:tcPr>
          <w:p w14:paraId="1D7CF349" w14:textId="77777777" w:rsidR="00802CC9" w:rsidRPr="00A746EA" w:rsidRDefault="00802CC9" w:rsidP="00A746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39,74 </w:t>
            </w:r>
          </w:p>
        </w:tc>
        <w:tc>
          <w:tcPr>
            <w:tcW w:w="1275" w:type="dxa"/>
          </w:tcPr>
          <w:p w14:paraId="5D8DF03D" w14:textId="77777777" w:rsidR="00802CC9" w:rsidRPr="00A746EA" w:rsidRDefault="00802CC9" w:rsidP="00A746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10,28 </w:t>
            </w:r>
          </w:p>
        </w:tc>
        <w:tc>
          <w:tcPr>
            <w:tcW w:w="1276" w:type="dxa"/>
            <w:gridSpan w:val="2"/>
          </w:tcPr>
          <w:p w14:paraId="29464142" w14:textId="77777777" w:rsidR="00802CC9" w:rsidRPr="00A746EA" w:rsidRDefault="00802CC9" w:rsidP="00A746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0,361 </w:t>
            </w:r>
          </w:p>
        </w:tc>
        <w:tc>
          <w:tcPr>
            <w:tcW w:w="1418" w:type="dxa"/>
            <w:gridSpan w:val="3"/>
          </w:tcPr>
          <w:p w14:paraId="07424670" w14:textId="77777777" w:rsidR="00802CC9" w:rsidRPr="00A746EA" w:rsidRDefault="00802CC9" w:rsidP="00A746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39,112 </w:t>
            </w:r>
          </w:p>
        </w:tc>
        <w:tc>
          <w:tcPr>
            <w:tcW w:w="1257" w:type="dxa"/>
            <w:gridSpan w:val="2"/>
          </w:tcPr>
          <w:p w14:paraId="1494F8C7" w14:textId="77777777" w:rsidR="00802CC9" w:rsidRPr="00A746EA" w:rsidRDefault="00802CC9" w:rsidP="00A746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7,984 </w:t>
            </w:r>
          </w:p>
        </w:tc>
      </w:tr>
      <w:tr w:rsidR="00802CC9" w:rsidRPr="00A746EA" w14:paraId="47FE9EDF" w14:textId="77777777" w:rsidTr="00010FDC">
        <w:trPr>
          <w:gridAfter w:val="2"/>
          <w:wAfter w:w="29" w:type="dxa"/>
          <w:trHeight w:val="487"/>
        </w:trPr>
        <w:tc>
          <w:tcPr>
            <w:tcW w:w="1701" w:type="dxa"/>
          </w:tcPr>
          <w:p w14:paraId="769A1287" w14:textId="77777777" w:rsidR="00802CC9" w:rsidRPr="00A746EA" w:rsidRDefault="00802CC9" w:rsidP="00A746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46EA">
              <w:rPr>
                <w:rFonts w:ascii="Times New Roman" w:hAnsi="Times New Roman" w:cs="Times New Roman"/>
                <w:sz w:val="28"/>
                <w:szCs w:val="28"/>
              </w:rPr>
              <w:t>Івано-Франківська</w:t>
            </w:r>
            <w:proofErr w:type="spellEnd"/>
            <w:r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 область </w:t>
            </w:r>
          </w:p>
        </w:tc>
        <w:tc>
          <w:tcPr>
            <w:tcW w:w="1843" w:type="dxa"/>
          </w:tcPr>
          <w:p w14:paraId="0FC5B5F7" w14:textId="77777777" w:rsidR="00802CC9" w:rsidRPr="00A746EA" w:rsidRDefault="00802CC9" w:rsidP="00A746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2019 </w:t>
            </w:r>
          </w:p>
        </w:tc>
        <w:tc>
          <w:tcPr>
            <w:tcW w:w="1265" w:type="dxa"/>
          </w:tcPr>
          <w:p w14:paraId="2EE26E04" w14:textId="77777777" w:rsidR="00802CC9" w:rsidRPr="00A746EA" w:rsidRDefault="00802CC9" w:rsidP="00A746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82,8 </w:t>
            </w:r>
          </w:p>
        </w:tc>
        <w:tc>
          <w:tcPr>
            <w:tcW w:w="1307" w:type="dxa"/>
            <w:gridSpan w:val="3"/>
          </w:tcPr>
          <w:p w14:paraId="3FA36C84" w14:textId="77777777" w:rsidR="00802CC9" w:rsidRPr="00A746EA" w:rsidRDefault="00802CC9" w:rsidP="00A746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12,7 </w:t>
            </w:r>
          </w:p>
        </w:tc>
        <w:tc>
          <w:tcPr>
            <w:tcW w:w="1307" w:type="dxa"/>
            <w:gridSpan w:val="2"/>
          </w:tcPr>
          <w:p w14:paraId="7B86CE5B" w14:textId="77777777" w:rsidR="00802CC9" w:rsidRPr="00A746EA" w:rsidRDefault="00802CC9" w:rsidP="00A746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0,028 </w:t>
            </w:r>
          </w:p>
        </w:tc>
        <w:tc>
          <w:tcPr>
            <w:tcW w:w="1307" w:type="dxa"/>
          </w:tcPr>
          <w:p w14:paraId="7DA7610E" w14:textId="77777777" w:rsidR="00802CC9" w:rsidRPr="00A746EA" w:rsidRDefault="00802CC9" w:rsidP="00A746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60,11 </w:t>
            </w:r>
          </w:p>
        </w:tc>
        <w:tc>
          <w:tcPr>
            <w:tcW w:w="1304" w:type="dxa"/>
            <w:gridSpan w:val="2"/>
          </w:tcPr>
          <w:p w14:paraId="19435AC9" w14:textId="77777777" w:rsidR="00802CC9" w:rsidRPr="00A746EA" w:rsidRDefault="00802CC9" w:rsidP="00A746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8,06 </w:t>
            </w:r>
          </w:p>
        </w:tc>
      </w:tr>
      <w:tr w:rsidR="00802CC9" w:rsidRPr="00A746EA" w14:paraId="18C201C2" w14:textId="77777777" w:rsidTr="00010FDC">
        <w:trPr>
          <w:gridAfter w:val="1"/>
          <w:wAfter w:w="17" w:type="dxa"/>
          <w:trHeight w:val="127"/>
        </w:trPr>
        <w:tc>
          <w:tcPr>
            <w:tcW w:w="3544" w:type="dxa"/>
            <w:gridSpan w:val="2"/>
          </w:tcPr>
          <w:p w14:paraId="0E21A04A" w14:textId="77777777" w:rsidR="00802CC9" w:rsidRPr="00A746EA" w:rsidRDefault="00802CC9" w:rsidP="00010FDC">
            <w:pPr>
              <w:spacing w:after="0"/>
              <w:ind w:firstLine="1620"/>
              <w:rPr>
                <w:rFonts w:ascii="Times New Roman" w:hAnsi="Times New Roman" w:cs="Times New Roman"/>
                <w:sz w:val="28"/>
                <w:szCs w:val="28"/>
              </w:rPr>
            </w:pPr>
            <w:r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2020 </w:t>
            </w:r>
          </w:p>
        </w:tc>
        <w:tc>
          <w:tcPr>
            <w:tcW w:w="1276" w:type="dxa"/>
            <w:gridSpan w:val="2"/>
          </w:tcPr>
          <w:p w14:paraId="3B0EF11A" w14:textId="77777777" w:rsidR="00802CC9" w:rsidRPr="00A746EA" w:rsidRDefault="00802CC9" w:rsidP="00A746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90,62 </w:t>
            </w:r>
          </w:p>
        </w:tc>
        <w:tc>
          <w:tcPr>
            <w:tcW w:w="1275" w:type="dxa"/>
          </w:tcPr>
          <w:p w14:paraId="47445174" w14:textId="77777777" w:rsidR="00802CC9" w:rsidRPr="00A746EA" w:rsidRDefault="00802CC9" w:rsidP="00A746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12,48 </w:t>
            </w:r>
          </w:p>
        </w:tc>
        <w:tc>
          <w:tcPr>
            <w:tcW w:w="1276" w:type="dxa"/>
            <w:gridSpan w:val="2"/>
          </w:tcPr>
          <w:p w14:paraId="22F5B545" w14:textId="77777777" w:rsidR="00802CC9" w:rsidRPr="00A746EA" w:rsidRDefault="00802CC9" w:rsidP="00A746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0,012 </w:t>
            </w:r>
          </w:p>
        </w:tc>
        <w:tc>
          <w:tcPr>
            <w:tcW w:w="1418" w:type="dxa"/>
            <w:gridSpan w:val="3"/>
          </w:tcPr>
          <w:p w14:paraId="4737E1A5" w14:textId="77777777" w:rsidR="00802CC9" w:rsidRPr="00A746EA" w:rsidRDefault="00802CC9" w:rsidP="00A746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62,46 </w:t>
            </w:r>
          </w:p>
        </w:tc>
        <w:tc>
          <w:tcPr>
            <w:tcW w:w="1257" w:type="dxa"/>
            <w:gridSpan w:val="2"/>
          </w:tcPr>
          <w:p w14:paraId="45D85F04" w14:textId="77777777" w:rsidR="00802CC9" w:rsidRPr="00A746EA" w:rsidRDefault="00802CC9" w:rsidP="00A746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9,5 </w:t>
            </w:r>
          </w:p>
        </w:tc>
      </w:tr>
      <w:tr w:rsidR="00802CC9" w:rsidRPr="00A746EA" w14:paraId="41B8DFF1" w14:textId="77777777" w:rsidTr="00010FDC">
        <w:trPr>
          <w:gridAfter w:val="1"/>
          <w:wAfter w:w="17" w:type="dxa"/>
          <w:trHeight w:val="127"/>
        </w:trPr>
        <w:tc>
          <w:tcPr>
            <w:tcW w:w="3544" w:type="dxa"/>
            <w:gridSpan w:val="2"/>
          </w:tcPr>
          <w:p w14:paraId="65CA3921" w14:textId="77777777" w:rsidR="00802CC9" w:rsidRPr="00A746EA" w:rsidRDefault="00802CC9" w:rsidP="00010FDC">
            <w:pPr>
              <w:spacing w:after="0"/>
              <w:ind w:firstLine="1620"/>
              <w:rPr>
                <w:rFonts w:ascii="Times New Roman" w:hAnsi="Times New Roman" w:cs="Times New Roman"/>
                <w:sz w:val="28"/>
                <w:szCs w:val="28"/>
              </w:rPr>
            </w:pPr>
            <w:r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2021 </w:t>
            </w:r>
          </w:p>
        </w:tc>
        <w:tc>
          <w:tcPr>
            <w:tcW w:w="1276" w:type="dxa"/>
            <w:gridSpan w:val="2"/>
          </w:tcPr>
          <w:p w14:paraId="19FE9609" w14:textId="77777777" w:rsidR="00802CC9" w:rsidRPr="00A746EA" w:rsidRDefault="00802CC9" w:rsidP="00A746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89,09 </w:t>
            </w:r>
          </w:p>
        </w:tc>
        <w:tc>
          <w:tcPr>
            <w:tcW w:w="1275" w:type="dxa"/>
          </w:tcPr>
          <w:p w14:paraId="56CE9216" w14:textId="77777777" w:rsidR="00802CC9" w:rsidRPr="00A746EA" w:rsidRDefault="00802CC9" w:rsidP="00A746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11,97 </w:t>
            </w:r>
          </w:p>
        </w:tc>
        <w:tc>
          <w:tcPr>
            <w:tcW w:w="1276" w:type="dxa"/>
            <w:gridSpan w:val="2"/>
          </w:tcPr>
          <w:p w14:paraId="4DC74662" w14:textId="77777777" w:rsidR="00802CC9" w:rsidRPr="00A746EA" w:rsidRDefault="00802CC9" w:rsidP="00A746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0,007 </w:t>
            </w:r>
          </w:p>
        </w:tc>
        <w:tc>
          <w:tcPr>
            <w:tcW w:w="1418" w:type="dxa"/>
            <w:gridSpan w:val="3"/>
          </w:tcPr>
          <w:p w14:paraId="70E4091F" w14:textId="77777777" w:rsidR="00802CC9" w:rsidRPr="00A746EA" w:rsidRDefault="00802CC9" w:rsidP="00A746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61,08 </w:t>
            </w:r>
          </w:p>
        </w:tc>
        <w:tc>
          <w:tcPr>
            <w:tcW w:w="1257" w:type="dxa"/>
            <w:gridSpan w:val="2"/>
          </w:tcPr>
          <w:p w14:paraId="773EDD33" w14:textId="77777777" w:rsidR="00802CC9" w:rsidRPr="00A746EA" w:rsidRDefault="00802CC9" w:rsidP="00A746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8,587 </w:t>
            </w:r>
          </w:p>
        </w:tc>
      </w:tr>
      <w:tr w:rsidR="00802CC9" w:rsidRPr="00A746EA" w14:paraId="700816F6" w14:textId="77777777" w:rsidTr="00010FDC">
        <w:trPr>
          <w:gridAfter w:val="2"/>
          <w:wAfter w:w="29" w:type="dxa"/>
          <w:trHeight w:val="307"/>
        </w:trPr>
        <w:tc>
          <w:tcPr>
            <w:tcW w:w="1701" w:type="dxa"/>
          </w:tcPr>
          <w:p w14:paraId="6C740879" w14:textId="77777777" w:rsidR="00802CC9" w:rsidRPr="00A746EA" w:rsidRDefault="00802CC9" w:rsidP="00A746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46EA">
              <w:rPr>
                <w:rFonts w:ascii="Times New Roman" w:hAnsi="Times New Roman" w:cs="Times New Roman"/>
                <w:sz w:val="28"/>
                <w:szCs w:val="28"/>
              </w:rPr>
              <w:t>Львівська</w:t>
            </w:r>
            <w:proofErr w:type="spellEnd"/>
            <w:r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 область </w:t>
            </w:r>
          </w:p>
        </w:tc>
        <w:tc>
          <w:tcPr>
            <w:tcW w:w="1843" w:type="dxa"/>
          </w:tcPr>
          <w:p w14:paraId="3A7607B0" w14:textId="77777777" w:rsidR="00802CC9" w:rsidRPr="00A746EA" w:rsidRDefault="00802CC9" w:rsidP="00A746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2019 </w:t>
            </w:r>
          </w:p>
        </w:tc>
        <w:tc>
          <w:tcPr>
            <w:tcW w:w="1265" w:type="dxa"/>
          </w:tcPr>
          <w:p w14:paraId="5D11BCFC" w14:textId="77777777" w:rsidR="00802CC9" w:rsidRPr="00A746EA" w:rsidRDefault="00802CC9" w:rsidP="00A746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175,8 </w:t>
            </w:r>
          </w:p>
        </w:tc>
        <w:tc>
          <w:tcPr>
            <w:tcW w:w="1307" w:type="dxa"/>
            <w:gridSpan w:val="3"/>
          </w:tcPr>
          <w:p w14:paraId="0C8BE56B" w14:textId="77777777" w:rsidR="00802CC9" w:rsidRPr="00A746EA" w:rsidRDefault="00802CC9" w:rsidP="00A746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54,03 </w:t>
            </w:r>
          </w:p>
        </w:tc>
        <w:tc>
          <w:tcPr>
            <w:tcW w:w="1307" w:type="dxa"/>
            <w:gridSpan w:val="2"/>
          </w:tcPr>
          <w:p w14:paraId="6DECF37D" w14:textId="77777777" w:rsidR="00802CC9" w:rsidRPr="00A746EA" w:rsidRDefault="00802CC9" w:rsidP="00A746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1,191 </w:t>
            </w:r>
          </w:p>
        </w:tc>
        <w:tc>
          <w:tcPr>
            <w:tcW w:w="1307" w:type="dxa"/>
          </w:tcPr>
          <w:p w14:paraId="3645F666" w14:textId="77777777" w:rsidR="00802CC9" w:rsidRPr="00A746EA" w:rsidRDefault="00802CC9" w:rsidP="00A746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167,6 </w:t>
            </w:r>
          </w:p>
        </w:tc>
        <w:tc>
          <w:tcPr>
            <w:tcW w:w="1304" w:type="dxa"/>
            <w:gridSpan w:val="2"/>
          </w:tcPr>
          <w:p w14:paraId="350A87CA" w14:textId="77777777" w:rsidR="00802CC9" w:rsidRPr="00A746EA" w:rsidRDefault="00802CC9" w:rsidP="00A746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14,41 </w:t>
            </w:r>
          </w:p>
        </w:tc>
      </w:tr>
      <w:tr w:rsidR="00802CC9" w:rsidRPr="00A746EA" w14:paraId="3368D3C6" w14:textId="77777777" w:rsidTr="00010FDC">
        <w:trPr>
          <w:gridAfter w:val="1"/>
          <w:wAfter w:w="17" w:type="dxa"/>
          <w:trHeight w:val="127"/>
        </w:trPr>
        <w:tc>
          <w:tcPr>
            <w:tcW w:w="3544" w:type="dxa"/>
            <w:gridSpan w:val="2"/>
          </w:tcPr>
          <w:p w14:paraId="0165DF9F" w14:textId="0602A238" w:rsidR="00802CC9" w:rsidRPr="00A746EA" w:rsidRDefault="00010FDC" w:rsidP="00010FDC">
            <w:pPr>
              <w:spacing w:after="0"/>
              <w:ind w:firstLine="147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802CC9"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2020 </w:t>
            </w:r>
          </w:p>
        </w:tc>
        <w:tc>
          <w:tcPr>
            <w:tcW w:w="1276" w:type="dxa"/>
            <w:gridSpan w:val="2"/>
          </w:tcPr>
          <w:p w14:paraId="3C407ACE" w14:textId="77777777" w:rsidR="00802CC9" w:rsidRPr="00A746EA" w:rsidRDefault="00802CC9" w:rsidP="00A746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172,3 </w:t>
            </w:r>
          </w:p>
        </w:tc>
        <w:tc>
          <w:tcPr>
            <w:tcW w:w="1275" w:type="dxa"/>
          </w:tcPr>
          <w:p w14:paraId="10B3F27A" w14:textId="77777777" w:rsidR="00802CC9" w:rsidRPr="00A746EA" w:rsidRDefault="00802CC9" w:rsidP="00A746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47,0 </w:t>
            </w:r>
          </w:p>
        </w:tc>
        <w:tc>
          <w:tcPr>
            <w:tcW w:w="1276" w:type="dxa"/>
            <w:gridSpan w:val="2"/>
          </w:tcPr>
          <w:p w14:paraId="6269F5C1" w14:textId="77777777" w:rsidR="00802CC9" w:rsidRPr="00A746EA" w:rsidRDefault="00802CC9" w:rsidP="00A746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1,256 </w:t>
            </w:r>
          </w:p>
        </w:tc>
        <w:tc>
          <w:tcPr>
            <w:tcW w:w="1418" w:type="dxa"/>
            <w:gridSpan w:val="3"/>
          </w:tcPr>
          <w:p w14:paraId="1605D93D" w14:textId="77777777" w:rsidR="00802CC9" w:rsidRPr="00A746EA" w:rsidRDefault="00802CC9" w:rsidP="00A746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164,9 </w:t>
            </w:r>
          </w:p>
        </w:tc>
        <w:tc>
          <w:tcPr>
            <w:tcW w:w="1257" w:type="dxa"/>
            <w:gridSpan w:val="2"/>
          </w:tcPr>
          <w:p w14:paraId="796BB0C1" w14:textId="77777777" w:rsidR="00802CC9" w:rsidRPr="00A746EA" w:rsidRDefault="00802CC9" w:rsidP="00A746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14,77 </w:t>
            </w:r>
          </w:p>
        </w:tc>
      </w:tr>
      <w:tr w:rsidR="00802CC9" w:rsidRPr="00A746EA" w14:paraId="206D4E2D" w14:textId="77777777" w:rsidTr="00010FDC">
        <w:trPr>
          <w:gridAfter w:val="1"/>
          <w:wAfter w:w="17" w:type="dxa"/>
          <w:trHeight w:val="127"/>
        </w:trPr>
        <w:tc>
          <w:tcPr>
            <w:tcW w:w="3544" w:type="dxa"/>
            <w:gridSpan w:val="2"/>
          </w:tcPr>
          <w:p w14:paraId="57912FEA" w14:textId="7DD76C5E" w:rsidR="00802CC9" w:rsidRPr="00A746EA" w:rsidRDefault="00010FDC" w:rsidP="00010FDC">
            <w:pPr>
              <w:spacing w:after="0"/>
              <w:ind w:firstLine="147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802CC9"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2021 </w:t>
            </w:r>
          </w:p>
        </w:tc>
        <w:tc>
          <w:tcPr>
            <w:tcW w:w="1276" w:type="dxa"/>
            <w:gridSpan w:val="2"/>
          </w:tcPr>
          <w:p w14:paraId="77E80DCE" w14:textId="77777777" w:rsidR="00802CC9" w:rsidRPr="00A746EA" w:rsidRDefault="00802CC9" w:rsidP="00A746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168,6 </w:t>
            </w:r>
          </w:p>
        </w:tc>
        <w:tc>
          <w:tcPr>
            <w:tcW w:w="1275" w:type="dxa"/>
          </w:tcPr>
          <w:p w14:paraId="1C6683F6" w14:textId="77777777" w:rsidR="00802CC9" w:rsidRPr="00A746EA" w:rsidRDefault="00802CC9" w:rsidP="00A746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45,46 </w:t>
            </w:r>
          </w:p>
        </w:tc>
        <w:tc>
          <w:tcPr>
            <w:tcW w:w="1276" w:type="dxa"/>
            <w:gridSpan w:val="2"/>
          </w:tcPr>
          <w:p w14:paraId="23E12C0A" w14:textId="77777777" w:rsidR="00802CC9" w:rsidRPr="00A746EA" w:rsidRDefault="00802CC9" w:rsidP="00A746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1,532 </w:t>
            </w:r>
          </w:p>
        </w:tc>
        <w:tc>
          <w:tcPr>
            <w:tcW w:w="1418" w:type="dxa"/>
            <w:gridSpan w:val="3"/>
          </w:tcPr>
          <w:p w14:paraId="106353E7" w14:textId="77777777" w:rsidR="00802CC9" w:rsidRPr="00A746EA" w:rsidRDefault="00802CC9" w:rsidP="00A746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156,1 </w:t>
            </w:r>
          </w:p>
        </w:tc>
        <w:tc>
          <w:tcPr>
            <w:tcW w:w="1257" w:type="dxa"/>
            <w:gridSpan w:val="2"/>
          </w:tcPr>
          <w:p w14:paraId="4D967758" w14:textId="77777777" w:rsidR="00802CC9" w:rsidRPr="00A746EA" w:rsidRDefault="00802CC9" w:rsidP="00A746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11,79 </w:t>
            </w:r>
          </w:p>
        </w:tc>
      </w:tr>
      <w:tr w:rsidR="00802CC9" w:rsidRPr="00A746EA" w14:paraId="6724E769" w14:textId="77777777" w:rsidTr="00010FDC">
        <w:trPr>
          <w:gridAfter w:val="2"/>
          <w:wAfter w:w="29" w:type="dxa"/>
          <w:trHeight w:val="307"/>
        </w:trPr>
        <w:tc>
          <w:tcPr>
            <w:tcW w:w="1701" w:type="dxa"/>
          </w:tcPr>
          <w:p w14:paraId="1C5CDAB5" w14:textId="77777777" w:rsidR="00802CC9" w:rsidRPr="00A746EA" w:rsidRDefault="00802CC9" w:rsidP="00A746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46EA">
              <w:rPr>
                <w:rFonts w:ascii="Times New Roman" w:hAnsi="Times New Roman" w:cs="Times New Roman"/>
                <w:sz w:val="28"/>
                <w:szCs w:val="28"/>
              </w:rPr>
              <w:t>Рівненська</w:t>
            </w:r>
            <w:proofErr w:type="spellEnd"/>
            <w:r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 область </w:t>
            </w:r>
          </w:p>
        </w:tc>
        <w:tc>
          <w:tcPr>
            <w:tcW w:w="1843" w:type="dxa"/>
          </w:tcPr>
          <w:p w14:paraId="313F1ABC" w14:textId="77777777" w:rsidR="00802CC9" w:rsidRPr="00A746EA" w:rsidRDefault="00802CC9" w:rsidP="00A746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2019 </w:t>
            </w:r>
          </w:p>
        </w:tc>
        <w:tc>
          <w:tcPr>
            <w:tcW w:w="1265" w:type="dxa"/>
          </w:tcPr>
          <w:p w14:paraId="5CF174FD" w14:textId="77777777" w:rsidR="00802CC9" w:rsidRPr="00A746EA" w:rsidRDefault="00802CC9" w:rsidP="00A746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126,3 </w:t>
            </w:r>
          </w:p>
        </w:tc>
        <w:tc>
          <w:tcPr>
            <w:tcW w:w="1307" w:type="dxa"/>
            <w:gridSpan w:val="3"/>
          </w:tcPr>
          <w:p w14:paraId="3621EDD2" w14:textId="77777777" w:rsidR="00802CC9" w:rsidRPr="00A746EA" w:rsidRDefault="00802CC9" w:rsidP="00A746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5,404 </w:t>
            </w:r>
          </w:p>
        </w:tc>
        <w:tc>
          <w:tcPr>
            <w:tcW w:w="1307" w:type="dxa"/>
            <w:gridSpan w:val="2"/>
          </w:tcPr>
          <w:p w14:paraId="4EAD57F2" w14:textId="77777777" w:rsidR="00802CC9" w:rsidRPr="00A746EA" w:rsidRDefault="00802CC9" w:rsidP="00A746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307" w:type="dxa"/>
          </w:tcPr>
          <w:p w14:paraId="6B13C3C4" w14:textId="77777777" w:rsidR="00802CC9" w:rsidRPr="00A746EA" w:rsidRDefault="00802CC9" w:rsidP="00A746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4,498 </w:t>
            </w:r>
          </w:p>
        </w:tc>
        <w:tc>
          <w:tcPr>
            <w:tcW w:w="1304" w:type="dxa"/>
            <w:gridSpan w:val="2"/>
          </w:tcPr>
          <w:p w14:paraId="704A22C6" w14:textId="77777777" w:rsidR="00802CC9" w:rsidRPr="00A746EA" w:rsidRDefault="00802CC9" w:rsidP="00A746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20,41 </w:t>
            </w:r>
          </w:p>
        </w:tc>
      </w:tr>
      <w:tr w:rsidR="00802CC9" w:rsidRPr="00A746EA" w14:paraId="03D7F9E2" w14:textId="77777777" w:rsidTr="00010FDC">
        <w:trPr>
          <w:gridAfter w:val="1"/>
          <w:wAfter w:w="17" w:type="dxa"/>
          <w:trHeight w:val="127"/>
        </w:trPr>
        <w:tc>
          <w:tcPr>
            <w:tcW w:w="3544" w:type="dxa"/>
            <w:gridSpan w:val="2"/>
          </w:tcPr>
          <w:p w14:paraId="0DCE8D20" w14:textId="05A3A1F6" w:rsidR="00802CC9" w:rsidRPr="00A746EA" w:rsidRDefault="00010FDC" w:rsidP="00010FDC">
            <w:pPr>
              <w:spacing w:after="0"/>
              <w:ind w:firstLine="147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802CC9"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2020 </w:t>
            </w:r>
          </w:p>
        </w:tc>
        <w:tc>
          <w:tcPr>
            <w:tcW w:w="1276" w:type="dxa"/>
            <w:gridSpan w:val="2"/>
          </w:tcPr>
          <w:p w14:paraId="4808C045" w14:textId="77777777" w:rsidR="00802CC9" w:rsidRPr="00A746EA" w:rsidRDefault="00802CC9" w:rsidP="00A746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119,7 </w:t>
            </w:r>
          </w:p>
        </w:tc>
        <w:tc>
          <w:tcPr>
            <w:tcW w:w="1275" w:type="dxa"/>
          </w:tcPr>
          <w:p w14:paraId="12C4E106" w14:textId="77777777" w:rsidR="00802CC9" w:rsidRPr="00A746EA" w:rsidRDefault="00802CC9" w:rsidP="00A746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6,6 </w:t>
            </w:r>
          </w:p>
        </w:tc>
        <w:tc>
          <w:tcPr>
            <w:tcW w:w="1276" w:type="dxa"/>
            <w:gridSpan w:val="2"/>
          </w:tcPr>
          <w:p w14:paraId="25F9615F" w14:textId="77777777" w:rsidR="00802CC9" w:rsidRPr="00A746EA" w:rsidRDefault="00802CC9" w:rsidP="00A746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418" w:type="dxa"/>
            <w:gridSpan w:val="3"/>
          </w:tcPr>
          <w:p w14:paraId="6B194A35" w14:textId="77777777" w:rsidR="00802CC9" w:rsidRPr="00A746EA" w:rsidRDefault="00802CC9" w:rsidP="00A746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4,449 </w:t>
            </w:r>
          </w:p>
        </w:tc>
        <w:tc>
          <w:tcPr>
            <w:tcW w:w="1257" w:type="dxa"/>
            <w:gridSpan w:val="2"/>
          </w:tcPr>
          <w:p w14:paraId="4440C525" w14:textId="77777777" w:rsidR="00802CC9" w:rsidRPr="00A746EA" w:rsidRDefault="00802CC9" w:rsidP="00A746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18,01 </w:t>
            </w:r>
          </w:p>
        </w:tc>
      </w:tr>
      <w:tr w:rsidR="00802CC9" w:rsidRPr="00A746EA" w14:paraId="0E9805A0" w14:textId="77777777" w:rsidTr="00010FDC">
        <w:trPr>
          <w:gridAfter w:val="1"/>
          <w:wAfter w:w="17" w:type="dxa"/>
          <w:trHeight w:val="127"/>
        </w:trPr>
        <w:tc>
          <w:tcPr>
            <w:tcW w:w="3544" w:type="dxa"/>
            <w:gridSpan w:val="2"/>
          </w:tcPr>
          <w:p w14:paraId="0F99F3A0" w14:textId="35275787" w:rsidR="00802CC9" w:rsidRPr="00A746EA" w:rsidRDefault="00010FDC" w:rsidP="00010FDC">
            <w:pPr>
              <w:spacing w:after="0"/>
              <w:ind w:firstLine="13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</w:t>
            </w:r>
            <w:r w:rsidR="00802CC9"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2021 </w:t>
            </w:r>
          </w:p>
        </w:tc>
        <w:tc>
          <w:tcPr>
            <w:tcW w:w="1276" w:type="dxa"/>
            <w:gridSpan w:val="2"/>
          </w:tcPr>
          <w:p w14:paraId="2023EE29" w14:textId="77777777" w:rsidR="00802CC9" w:rsidRPr="00A746EA" w:rsidRDefault="00802CC9" w:rsidP="00A746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124,9 </w:t>
            </w:r>
          </w:p>
        </w:tc>
        <w:tc>
          <w:tcPr>
            <w:tcW w:w="1275" w:type="dxa"/>
          </w:tcPr>
          <w:p w14:paraId="1D7454BE" w14:textId="77777777" w:rsidR="00802CC9" w:rsidRPr="00A746EA" w:rsidRDefault="00802CC9" w:rsidP="00A746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6,378 </w:t>
            </w:r>
          </w:p>
        </w:tc>
        <w:tc>
          <w:tcPr>
            <w:tcW w:w="1276" w:type="dxa"/>
            <w:gridSpan w:val="2"/>
          </w:tcPr>
          <w:p w14:paraId="12E3B932" w14:textId="77777777" w:rsidR="00802CC9" w:rsidRPr="00A746EA" w:rsidRDefault="00802CC9" w:rsidP="00A746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418" w:type="dxa"/>
            <w:gridSpan w:val="3"/>
          </w:tcPr>
          <w:p w14:paraId="4544612C" w14:textId="77777777" w:rsidR="00802CC9" w:rsidRPr="00A746EA" w:rsidRDefault="00802CC9" w:rsidP="00A746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4,631 </w:t>
            </w:r>
          </w:p>
        </w:tc>
        <w:tc>
          <w:tcPr>
            <w:tcW w:w="1257" w:type="dxa"/>
            <w:gridSpan w:val="2"/>
          </w:tcPr>
          <w:p w14:paraId="6B509CB0" w14:textId="77777777" w:rsidR="00802CC9" w:rsidRPr="00A746EA" w:rsidRDefault="00802CC9" w:rsidP="00A746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46EA">
              <w:rPr>
                <w:rFonts w:ascii="Times New Roman" w:hAnsi="Times New Roman" w:cs="Times New Roman"/>
                <w:sz w:val="28"/>
                <w:szCs w:val="28"/>
              </w:rPr>
              <w:t xml:space="preserve">17,56 </w:t>
            </w:r>
          </w:p>
        </w:tc>
      </w:tr>
    </w:tbl>
    <w:p w14:paraId="2B831F10" w14:textId="4155A2FF" w:rsidR="00493C6F" w:rsidRDefault="00493C6F" w:rsidP="00A746E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FC0CD54" w14:textId="77777777" w:rsidR="00010FDC" w:rsidRPr="00010FDC" w:rsidRDefault="00010FDC" w:rsidP="00010FDC">
      <w:pPr>
        <w:pStyle w:val="Default"/>
        <w:rPr>
          <w:sz w:val="28"/>
          <w:szCs w:val="28"/>
          <w:lang w:val="ru-RU"/>
        </w:rPr>
      </w:pPr>
      <w:r w:rsidRPr="00010FDC">
        <w:rPr>
          <w:b/>
          <w:bCs/>
          <w:sz w:val="28"/>
          <w:szCs w:val="28"/>
          <w:lang w:val="ru-RU"/>
        </w:rPr>
        <w:t xml:space="preserve">Завдання 2. </w:t>
      </w:r>
      <w:r w:rsidRPr="00010FDC">
        <w:rPr>
          <w:sz w:val="28"/>
          <w:szCs w:val="28"/>
          <w:lang w:val="ru-RU"/>
        </w:rPr>
        <w:t>Проаналізувати зміну коефіцієнтів ефективності водопостачання К</w:t>
      </w:r>
      <w:r w:rsidRPr="00010FDC">
        <w:rPr>
          <w:sz w:val="18"/>
          <w:szCs w:val="18"/>
          <w:lang w:val="ru-RU"/>
        </w:rPr>
        <w:t xml:space="preserve">1 </w:t>
      </w:r>
      <w:r w:rsidRPr="00010FDC">
        <w:rPr>
          <w:sz w:val="28"/>
          <w:szCs w:val="28"/>
          <w:lang w:val="ru-RU"/>
        </w:rPr>
        <w:t>і водовідведення К</w:t>
      </w:r>
      <w:r w:rsidRPr="00010FDC">
        <w:rPr>
          <w:sz w:val="18"/>
          <w:szCs w:val="18"/>
          <w:lang w:val="ru-RU"/>
        </w:rPr>
        <w:t xml:space="preserve">2 </w:t>
      </w:r>
      <w:r w:rsidRPr="00010FDC">
        <w:rPr>
          <w:sz w:val="28"/>
          <w:szCs w:val="28"/>
          <w:lang w:val="ru-RU"/>
        </w:rPr>
        <w:t xml:space="preserve">за розрахунковий період. </w:t>
      </w:r>
    </w:p>
    <w:p w14:paraId="7291BABF" w14:textId="77777777" w:rsidR="00010FDC" w:rsidRPr="00010FDC" w:rsidRDefault="00010FDC" w:rsidP="00010FDC">
      <w:pPr>
        <w:pStyle w:val="Default"/>
        <w:rPr>
          <w:sz w:val="28"/>
          <w:szCs w:val="28"/>
          <w:lang w:val="ru-RU"/>
        </w:rPr>
      </w:pPr>
      <w:r w:rsidRPr="00010FDC">
        <w:rPr>
          <w:b/>
          <w:bCs/>
          <w:sz w:val="28"/>
          <w:szCs w:val="28"/>
          <w:lang w:val="ru-RU"/>
        </w:rPr>
        <w:lastRenderedPageBreak/>
        <w:t xml:space="preserve">Завдання 3. </w:t>
      </w:r>
      <w:r w:rsidRPr="00010FDC">
        <w:rPr>
          <w:sz w:val="28"/>
          <w:szCs w:val="28"/>
          <w:lang w:val="ru-RU"/>
        </w:rPr>
        <w:t xml:space="preserve">Виконати порівняльний аналіз ефективності водокористування по окремих областях, а також визначити показники, за рахунок яких відзначаються зміни показників водоспоживання і водовідведення. </w:t>
      </w:r>
    </w:p>
    <w:p w14:paraId="0D5AD905" w14:textId="5BB62A2B" w:rsidR="00010FDC" w:rsidRPr="00A746EA" w:rsidRDefault="00010FDC" w:rsidP="00010FD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Завдання</w:t>
      </w:r>
      <w:proofErr w:type="spellEnd"/>
      <w:r>
        <w:rPr>
          <w:b/>
          <w:bCs/>
          <w:sz w:val="28"/>
          <w:szCs w:val="28"/>
        </w:rPr>
        <w:t xml:space="preserve"> 4. </w:t>
      </w:r>
      <w:r>
        <w:rPr>
          <w:sz w:val="28"/>
          <w:szCs w:val="28"/>
        </w:rPr>
        <w:t xml:space="preserve">За </w:t>
      </w:r>
      <w:proofErr w:type="spellStart"/>
      <w:r>
        <w:rPr>
          <w:sz w:val="28"/>
          <w:szCs w:val="28"/>
        </w:rPr>
        <w:t>бажанням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виконати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індивідуальним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варіантом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запропонованим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здобувачем</w:t>
      </w:r>
      <w:proofErr w:type="spellEnd"/>
      <w:r>
        <w:rPr>
          <w:sz w:val="28"/>
          <w:szCs w:val="28"/>
        </w:rPr>
        <w:t xml:space="preserve"> за темою </w:t>
      </w:r>
      <w:proofErr w:type="spellStart"/>
      <w:r>
        <w:rPr>
          <w:sz w:val="28"/>
          <w:szCs w:val="28"/>
        </w:rPr>
        <w:t>дисертаційного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дослідження</w:t>
      </w:r>
      <w:proofErr w:type="spellEnd"/>
      <w:r>
        <w:rPr>
          <w:sz w:val="28"/>
          <w:szCs w:val="28"/>
        </w:rPr>
        <w:t>.</w:t>
      </w:r>
      <w:bookmarkStart w:id="0" w:name="_GoBack"/>
      <w:bookmarkEnd w:id="0"/>
    </w:p>
    <w:sectPr w:rsidR="00010FDC" w:rsidRPr="00A746EA" w:rsidSect="00A746E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769B9"/>
    <w:multiLevelType w:val="hybridMultilevel"/>
    <w:tmpl w:val="2D08E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30"/>
    <w:rsid w:val="00010FDC"/>
    <w:rsid w:val="00211A7E"/>
    <w:rsid w:val="0038009A"/>
    <w:rsid w:val="00493C6F"/>
    <w:rsid w:val="004A4830"/>
    <w:rsid w:val="00802CC9"/>
    <w:rsid w:val="0092347E"/>
    <w:rsid w:val="00A746EA"/>
    <w:rsid w:val="00F4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5F636"/>
  <w15:chartTrackingRefBased/>
  <w15:docId w15:val="{A987FFD5-4C70-404F-BD42-123CEC62A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48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8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48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48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8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48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48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48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48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48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A48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A48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A483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A483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A48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A48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A48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A48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A48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A4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48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A48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A48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A483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A483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A483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A48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A483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A4830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10F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1168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 Petrusha</dc:creator>
  <cp:keywords/>
  <dc:description/>
  <cp:lastModifiedBy>user</cp:lastModifiedBy>
  <cp:revision>2</cp:revision>
  <dcterms:created xsi:type="dcterms:W3CDTF">2025-10-22T13:31:00Z</dcterms:created>
  <dcterms:modified xsi:type="dcterms:W3CDTF">2025-10-22T13:31:00Z</dcterms:modified>
</cp:coreProperties>
</file>