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5D" w:rsidRPr="00C42915" w:rsidRDefault="0061295D" w:rsidP="0061295D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1. Стадії та форми інтернаціоналізації й глобалізації бізнес-консалтингу</w:t>
      </w: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1: Форма експорту послуг для малого бізнесу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Мала українська 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TechConsult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(10 співробітників) хоче вийти на ринок Польщі. У них є обмежений бюджет та відсутній досвід роботи за кордоном. Вони розглядають два варіанти: прямий експорт (самостійний пошук клієнтів і проведення операцій) та непрямий експорт (через польського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агента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-посередника).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Яку форму експорту послуг варто обрати компанії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TechConsult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на початковому етапі та чому?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2: Стадія інтернаціоналізації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Велика 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GlobalAdvise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вирішила розширити свою діяльність, створивши спільне підприємство з локальною компанією у В'єтнамі для надання послуг з IT-консалтингу. Це дозволяє їм використовувати активи та знання місцевого партнера, вкладаючи при цьому власний капітал.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До якої стадії інтернаціоналізації консалтингового бізнесу відноситься створення спільного підприємства з місцевою компанією?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3: Роль ТНК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MegaCorp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є гігантом на ринку, створивши мережеву структуру з філіями у 20 країнах світу, контролюючи виробництво послуг на основі прямих інвестицій. Компанія активно впроваджує та поширює сучасні технології бізнес-консалтингу по всьому світу.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lastRenderedPageBreak/>
        <w:t>Яку форму інтернаціоналізації бізнес-консалтингу демонструє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MegaCorp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і яка її роль на світовому ринку?</w:t>
      </w:r>
    </w:p>
    <w:p w:rsidR="00C42915" w:rsidRPr="00C42915" w:rsidRDefault="00C42915" w:rsidP="0061295D">
      <w:pPr>
        <w:spacing w:before="100" w:beforeAutospacing="1" w:after="120" w:line="240" w:lineRule="auto"/>
        <w:outlineLvl w:val="2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2. Основні бізнес-процеси консалтингової компанії. Стратегії конкурентних переваг</w:t>
      </w: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4: Стратегія цінової конкуренції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LowCostConsult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з країни, що розвивається, виходить на європейський ринок, пропонуючи послуги з IT-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аутсорсингу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за ціною, яка є на 40% нижчою, ніж у конкурентів із Західної Європи. Компанія може це дозволити завдяки нижчій вартості праці консультантів у своїй країні.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Яку стратегію конкурентних переваг використовує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LowCostConsult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і за рахунок якого ключового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фактора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вона реалізується?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5: Стратегія унікальності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фірма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InnovatePlus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розробила унікальну, запатентовану методологію "AI-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Driven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Strategy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для прогнозування ринкової кон'юнктури, яка дає клієнтам відчутну вигоду у випередженні конкурентів. Фірма інвестує значні кошти у свій бренд та R&amp;D.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Яку стратегію конкурентних переваг використовує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InnovatePlus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і до якого рівня міжнародної конкурентоспроможності це призводить?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6: Життєвий цикл послуг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TrendSet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займається розробкою інноваційних послуг (наприклад, консалтинг для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метавсесвіту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). Вони відзначають, що більшість їхніх інноваційних послуг продаються за монопольно високими цінами та експортуються переважно у розвинені країни.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 співвідноситься етап життєвого циклу послуги (стадія розробки/впровадження) з ціновою політикою та географією експорту?</w:t>
      </w:r>
    </w:p>
    <w:p w:rsidR="00C42915" w:rsidRPr="00C42915" w:rsidRDefault="00C42915" w:rsidP="0061295D">
      <w:pPr>
        <w:spacing w:before="100" w:beforeAutospacing="1" w:after="120" w:line="240" w:lineRule="auto"/>
        <w:outlineLvl w:val="2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 xml:space="preserve">3. Міжнародна диверсифікація та </w:t>
      </w:r>
      <w:proofErr w:type="spellStart"/>
      <w:r w:rsidRPr="00C42915">
        <w:rPr>
          <w:rFonts w:eastAsia="Times New Roman"/>
          <w:b/>
          <w:bCs/>
          <w:color w:val="1B1C1D"/>
          <w:szCs w:val="28"/>
          <w:lang w:eastAsia="uk-UA"/>
        </w:rPr>
        <w:t>аутсорсинг</w:t>
      </w:r>
      <w:proofErr w:type="spellEnd"/>
      <w:r w:rsidRPr="00C42915">
        <w:rPr>
          <w:rFonts w:eastAsia="Times New Roman"/>
          <w:b/>
          <w:bCs/>
          <w:color w:val="1B1C1D"/>
          <w:szCs w:val="28"/>
          <w:lang w:eastAsia="uk-UA"/>
        </w:rPr>
        <w:t xml:space="preserve"> на світовому ринку консалтингу</w:t>
      </w: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7: Міжнародна диверсифікація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фірма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RiskAvert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відчуває значні збитки на внутрішньому ринку через економічний спад, але має успішні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проєкти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у трьох іноземних юрисдикціях. Керівництво розглядає можливість подальшого розширення асортименту послуг та активів на зовнішніх ринках, щоб розподілити ризики та уникнути банкрутства.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  <w:bookmarkStart w:id="0" w:name="_GoBack"/>
      <w:bookmarkEnd w:id="0"/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Який метод управління ризиками компанія використовує, і назвіть одну його привабливу та одну слабку сторону.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 xml:space="preserve">Кейс 8: Офшорний </w:t>
      </w:r>
      <w:proofErr w:type="spellStart"/>
      <w:r w:rsidRPr="00C42915">
        <w:rPr>
          <w:rFonts w:eastAsia="Times New Roman"/>
          <w:b/>
          <w:bCs/>
          <w:color w:val="1B1C1D"/>
          <w:szCs w:val="28"/>
          <w:lang w:eastAsia="uk-UA"/>
        </w:rPr>
        <w:t>аутсорсинг</w:t>
      </w:r>
      <w:proofErr w:type="spellEnd"/>
      <w:r w:rsidRPr="00C42915">
        <w:rPr>
          <w:rFonts w:eastAsia="Times New Roman"/>
          <w:b/>
          <w:bCs/>
          <w:color w:val="1B1C1D"/>
          <w:szCs w:val="28"/>
          <w:lang w:eastAsia="uk-UA"/>
        </w:rPr>
        <w:t xml:space="preserve"> та ризики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Лондонська юридична консалтингова фірма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LawBridge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залучає групу юристів із Південної Африки для рецензії великого обсягу правових документів. Це дозволяє скоротити витрати. Керівництво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LawBridge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дозволяє переглядати документи, але забороняє їх завантаження чи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роздрук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за кордоном.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 xml:space="preserve">Як називається ця форма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аутсорсингу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(за географічною ознакою) і який головний ризик цієї стратегії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LawBridge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 намагається мінімізувати своїм обмеженням?</w:t>
      </w:r>
    </w:p>
    <w:p w:rsidR="00C42915" w:rsidRPr="00C42915" w:rsidRDefault="00C42915" w:rsidP="0061295D">
      <w:pPr>
        <w:spacing w:before="100" w:beforeAutospacing="1" w:after="120" w:line="240" w:lineRule="auto"/>
        <w:outlineLvl w:val="2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4. Виклики ведення консалтингового бізнесу за кордоном</w:t>
      </w: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9: Виклики споживчих настроїв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Консалтингова 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WestStyle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зі США планує вийти на ринок Східної Європи, очікуючи, що високий попит на їхні послуги в США автоматично гарантує успіх за кордоном. Керівник вважає, що достатньо покладатися на експертні висновки і немає потреби особисто відвідувати цільовий ринок.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Який головний виклик іноземних ринків ігнорує керівник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WestStyle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і яка з двох тактик виходу на ринок (особисте відвідування чи експертний висновок) є більш ґрунтовною?</w:t>
      </w:r>
    </w:p>
    <w:p w:rsidR="00C42915" w:rsidRPr="00C42915" w:rsidRDefault="00C42915" w:rsidP="0061295D">
      <w:pPr>
        <w:spacing w:before="100" w:beforeAutospacing="1" w:after="120" w:line="240" w:lineRule="auto"/>
        <w:outlineLvl w:val="3"/>
        <w:rPr>
          <w:rFonts w:eastAsia="Times New Roman"/>
          <w:color w:val="1B1C1D"/>
          <w:szCs w:val="28"/>
          <w:lang w:eastAsia="uk-UA"/>
        </w:rPr>
      </w:pPr>
    </w:p>
    <w:p w:rsidR="0061295D" w:rsidRPr="00C42915" w:rsidRDefault="0061295D" w:rsidP="0061295D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Cs w:val="28"/>
          <w:lang w:eastAsia="uk-UA"/>
        </w:rPr>
      </w:pPr>
      <w:r w:rsidRPr="00C42915">
        <w:rPr>
          <w:rFonts w:eastAsia="Times New Roman"/>
          <w:b/>
          <w:bCs/>
          <w:color w:val="1B1C1D"/>
          <w:szCs w:val="28"/>
          <w:lang w:eastAsia="uk-UA"/>
        </w:rPr>
        <w:t>Кейс 10: Менталітет та інституційне середовище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Ситуація: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Компанія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EuroConsult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" укладає велику угоду з клієнтом зі Східної країни. Менеджери "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EuroConsult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 xml:space="preserve">" звикли до західного стилю: чітка регламентація дій та раціоналізм. Вони здивовані, що їхні партнери очікують попередніх </w:t>
      </w:r>
      <w:proofErr w:type="spellStart"/>
      <w:r w:rsidRPr="00C42915">
        <w:rPr>
          <w:rFonts w:eastAsia="Times New Roman"/>
          <w:color w:val="1B1C1D"/>
          <w:szCs w:val="28"/>
          <w:lang w:eastAsia="uk-UA"/>
        </w:rPr>
        <w:t>застіль</w:t>
      </w:r>
      <w:proofErr w:type="spellEnd"/>
      <w:r w:rsidRPr="00C42915">
        <w:rPr>
          <w:rFonts w:eastAsia="Times New Roman"/>
          <w:color w:val="1B1C1D"/>
          <w:szCs w:val="28"/>
          <w:lang w:eastAsia="uk-UA"/>
        </w:rPr>
        <w:t>, розмов з чаюванням та обговорення знайомства з представниками державної влади, а ділові зустрічі відбуваються пізно ввечері.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Завдання:</w:t>
      </w:r>
    </w:p>
    <w:p w:rsidR="0061295D" w:rsidRPr="00C42915" w:rsidRDefault="0061295D" w:rsidP="0061295D">
      <w:pPr>
        <w:spacing w:before="100" w:beforeAutospacing="1" w:after="100" w:afterAutospacing="1" w:line="240" w:lineRule="auto"/>
        <w:rPr>
          <w:rFonts w:eastAsia="Times New Roman"/>
          <w:color w:val="1B1C1D"/>
          <w:szCs w:val="28"/>
          <w:lang w:eastAsia="uk-UA"/>
        </w:rPr>
      </w:pPr>
      <w:r w:rsidRPr="00C42915">
        <w:rPr>
          <w:rFonts w:eastAsia="Times New Roman"/>
          <w:color w:val="1B1C1D"/>
          <w:szCs w:val="28"/>
          <w:lang w:eastAsia="uk-UA"/>
        </w:rPr>
        <w:t>Який виклик ведення консалтингового бізнесу за кордоном ілюструє ця ситуація і які особливості економічної поведінки характерні для східних підприємців?</w:t>
      </w:r>
    </w:p>
    <w:p w:rsidR="00517571" w:rsidRPr="00C42915" w:rsidRDefault="00517571">
      <w:pPr>
        <w:rPr>
          <w:rFonts w:eastAsia="Times New Roman"/>
          <w:color w:val="1B1C1D"/>
          <w:szCs w:val="28"/>
          <w:lang w:eastAsia="uk-UA"/>
        </w:rPr>
      </w:pPr>
    </w:p>
    <w:p w:rsidR="00C42915" w:rsidRPr="00C42915" w:rsidRDefault="00C42915">
      <w:pPr>
        <w:rPr>
          <w:szCs w:val="28"/>
        </w:rPr>
      </w:pPr>
    </w:p>
    <w:sectPr w:rsidR="00C42915" w:rsidRPr="00C42915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5C82"/>
    <w:multiLevelType w:val="multilevel"/>
    <w:tmpl w:val="451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5D"/>
    <w:rsid w:val="00517571"/>
    <w:rsid w:val="0061295D"/>
    <w:rsid w:val="006A3EA6"/>
    <w:rsid w:val="00851B35"/>
    <w:rsid w:val="00C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5C5B"/>
  <w15:chartTrackingRefBased/>
  <w15:docId w15:val="{E4B4728B-F07F-46D2-A64E-24E694D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295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61295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95D"/>
    <w:rPr>
      <w:rFonts w:eastAsia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1295D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129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citation-77">
    <w:name w:val="citation-77"/>
    <w:basedOn w:val="a0"/>
    <w:rsid w:val="0061295D"/>
  </w:style>
  <w:style w:type="character" w:customStyle="1" w:styleId="citation-76">
    <w:name w:val="citation-76"/>
    <w:basedOn w:val="a0"/>
    <w:rsid w:val="0061295D"/>
  </w:style>
  <w:style w:type="character" w:customStyle="1" w:styleId="citation-75">
    <w:name w:val="citation-75"/>
    <w:basedOn w:val="a0"/>
    <w:rsid w:val="0061295D"/>
  </w:style>
  <w:style w:type="character" w:customStyle="1" w:styleId="citation-74">
    <w:name w:val="citation-74"/>
    <w:basedOn w:val="a0"/>
    <w:rsid w:val="0061295D"/>
  </w:style>
  <w:style w:type="character" w:customStyle="1" w:styleId="citation-73">
    <w:name w:val="citation-73"/>
    <w:basedOn w:val="a0"/>
    <w:rsid w:val="0061295D"/>
  </w:style>
  <w:style w:type="character" w:customStyle="1" w:styleId="citation-72">
    <w:name w:val="citation-72"/>
    <w:basedOn w:val="a0"/>
    <w:rsid w:val="0061295D"/>
  </w:style>
  <w:style w:type="character" w:customStyle="1" w:styleId="citation-71">
    <w:name w:val="citation-71"/>
    <w:basedOn w:val="a0"/>
    <w:rsid w:val="0061295D"/>
  </w:style>
  <w:style w:type="character" w:customStyle="1" w:styleId="citation-70">
    <w:name w:val="citation-70"/>
    <w:basedOn w:val="a0"/>
    <w:rsid w:val="0061295D"/>
  </w:style>
  <w:style w:type="character" w:customStyle="1" w:styleId="citation-69">
    <w:name w:val="citation-69"/>
    <w:basedOn w:val="a0"/>
    <w:rsid w:val="0061295D"/>
  </w:style>
  <w:style w:type="character" w:customStyle="1" w:styleId="citation-68">
    <w:name w:val="citation-68"/>
    <w:basedOn w:val="a0"/>
    <w:rsid w:val="0061295D"/>
  </w:style>
  <w:style w:type="character" w:customStyle="1" w:styleId="citation-67">
    <w:name w:val="citation-67"/>
    <w:basedOn w:val="a0"/>
    <w:rsid w:val="0061295D"/>
  </w:style>
  <w:style w:type="character" w:customStyle="1" w:styleId="citation-66">
    <w:name w:val="citation-66"/>
    <w:basedOn w:val="a0"/>
    <w:rsid w:val="0061295D"/>
  </w:style>
  <w:style w:type="character" w:customStyle="1" w:styleId="citation-65">
    <w:name w:val="citation-65"/>
    <w:basedOn w:val="a0"/>
    <w:rsid w:val="0061295D"/>
  </w:style>
  <w:style w:type="character" w:customStyle="1" w:styleId="citation-64">
    <w:name w:val="citation-64"/>
    <w:basedOn w:val="a0"/>
    <w:rsid w:val="0061295D"/>
  </w:style>
  <w:style w:type="character" w:customStyle="1" w:styleId="citation-63">
    <w:name w:val="citation-63"/>
    <w:basedOn w:val="a0"/>
    <w:rsid w:val="0061295D"/>
  </w:style>
  <w:style w:type="character" w:customStyle="1" w:styleId="citation-62">
    <w:name w:val="citation-62"/>
    <w:basedOn w:val="a0"/>
    <w:rsid w:val="0061295D"/>
  </w:style>
  <w:style w:type="character" w:customStyle="1" w:styleId="citation-61">
    <w:name w:val="citation-61"/>
    <w:basedOn w:val="a0"/>
    <w:rsid w:val="0061295D"/>
  </w:style>
  <w:style w:type="character" w:customStyle="1" w:styleId="citation-60">
    <w:name w:val="citation-60"/>
    <w:basedOn w:val="a0"/>
    <w:rsid w:val="0061295D"/>
  </w:style>
  <w:style w:type="character" w:customStyle="1" w:styleId="citation-59">
    <w:name w:val="citation-59"/>
    <w:basedOn w:val="a0"/>
    <w:rsid w:val="0061295D"/>
  </w:style>
  <w:style w:type="character" w:customStyle="1" w:styleId="citation-58">
    <w:name w:val="citation-58"/>
    <w:basedOn w:val="a0"/>
    <w:rsid w:val="0061295D"/>
  </w:style>
  <w:style w:type="character" w:customStyle="1" w:styleId="citation-57">
    <w:name w:val="citation-57"/>
    <w:basedOn w:val="a0"/>
    <w:rsid w:val="0061295D"/>
  </w:style>
  <w:style w:type="character" w:customStyle="1" w:styleId="citation-56">
    <w:name w:val="citation-56"/>
    <w:basedOn w:val="a0"/>
    <w:rsid w:val="0061295D"/>
  </w:style>
  <w:style w:type="character" w:customStyle="1" w:styleId="citation-55">
    <w:name w:val="citation-55"/>
    <w:basedOn w:val="a0"/>
    <w:rsid w:val="0061295D"/>
  </w:style>
  <w:style w:type="character" w:customStyle="1" w:styleId="citation-54">
    <w:name w:val="citation-54"/>
    <w:basedOn w:val="a0"/>
    <w:rsid w:val="0061295D"/>
  </w:style>
  <w:style w:type="character" w:customStyle="1" w:styleId="citation-53">
    <w:name w:val="citation-53"/>
    <w:basedOn w:val="a0"/>
    <w:rsid w:val="0061295D"/>
  </w:style>
  <w:style w:type="character" w:customStyle="1" w:styleId="citation-52">
    <w:name w:val="citation-52"/>
    <w:basedOn w:val="a0"/>
    <w:rsid w:val="0061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3212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1. Стадії та форми інтернаціоналізації й глобалізації бізнес-консалтингу</vt:lpstr>
      <vt:lpstr>        </vt:lpstr>
      <vt:lpstr>        2. Основні бізнес-процеси консалтингової компанії. Стратегії конкурентних перева</vt:lpstr>
      <vt:lpstr>        </vt:lpstr>
      <vt:lpstr>        3. Міжнародна диверсифікація та аутсорсинг на світовому ринку консалтингу</vt:lpstr>
      <vt:lpstr>        </vt:lpstr>
      <vt:lpstr>        4. Виклики ведення консалтингового бізнесу за кордоном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2025-10-06T13:41:00Z</dcterms:created>
  <dcterms:modified xsi:type="dcterms:W3CDTF">2025-10-06T13:45:00Z</dcterms:modified>
</cp:coreProperties>
</file>