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4D" w:rsidRPr="0038664D" w:rsidRDefault="0038664D" w:rsidP="0038664D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38664D">
        <w:rPr>
          <w:rFonts w:eastAsia="Times New Roman"/>
          <w:b/>
          <w:bCs/>
          <w:sz w:val="27"/>
          <w:szCs w:val="27"/>
          <w:lang w:eastAsia="uk-UA"/>
        </w:rPr>
        <w:t>ЛЕКЦІЯ 10. МІЖНАРОДНИЙ ІННОВАЦІЙНИЙ БІЗНЕС-КОНСАЛТИНГ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1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Вхід на Ринок з Наукомістким Продуктом (П. 1)</w:t>
      </w:r>
    </w:p>
    <w:p w:rsidR="0038664D" w:rsidRPr="0038664D" w:rsidRDefault="0038664D" w:rsidP="00386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Українська компанія "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AgroTech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UA" розробила унікальну технологію вертикального фермерства, що дозволяє вирощувати овочі з мінімальним споживанням води та енергії. Вони планують вихід на ринок Об'єднаних Арабських Еміратів (ОАЕ), де потреба в стійких продовольчих рішеннях висока, але є значні культурні, регуляторні та логістичні бар'єри.</w:t>
      </w:r>
    </w:p>
    <w:p w:rsidR="0038664D" w:rsidRPr="0038664D" w:rsidRDefault="0038664D" w:rsidP="003866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Як консалтингова компанія, розробіть стратегію первинного виходу, яка враховуватиме місцеві особливості та підтвердить конкурентні переваги технології. Які ключові ризики варто оцінити?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2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Вибір Суб'єкта Консалтингу для Інновації (П. 2)</w:t>
      </w:r>
    </w:p>
    <w:p w:rsidR="0038664D" w:rsidRPr="0038664D" w:rsidRDefault="0038664D" w:rsidP="003866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Німецький машинобудівний гігант "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IndustrieGmbH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>" володіє патентом на інноваційного робота для складних складальних робіт. Вони вирішили не використовувати цю технологію внутрішньо, а комерціалізувати її на азійських ринках. Компанія розглядає два варіанти консалтингу</w:t>
      </w:r>
      <w:r w:rsidR="00CE0C48">
        <w:rPr>
          <w:rFonts w:eastAsia="Times New Roman"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велика міжнародна консалтингова мережа ("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Big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Four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") або спеціалізована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нішева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консалтингова фірма з фокусом на автоматизації та інноваційному трансфері в Азії.</w:t>
      </w:r>
    </w:p>
    <w:p w:rsidR="0038664D" w:rsidRPr="0038664D" w:rsidRDefault="0038664D" w:rsidP="003866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Обґрунтуйте вибір найбільш ефективного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суб'єкта консалтингу</w:t>
      </w:r>
      <w:r w:rsidRPr="0038664D">
        <w:rPr>
          <w:rFonts w:eastAsia="Times New Roman"/>
          <w:sz w:val="24"/>
          <w:szCs w:val="24"/>
          <w:lang w:eastAsia="uk-UA"/>
        </w:rPr>
        <w:t xml:space="preserve"> для цього завдання, виходячи із сутності інноваційного бізнес-консалтингу.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3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Проблеми Трансферу Технологій на Глобальному Ринку (П. 3)</w:t>
      </w:r>
    </w:p>
    <w:p w:rsidR="0038664D" w:rsidRPr="0038664D" w:rsidRDefault="0038664D" w:rsidP="003866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Американський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стартап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"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BioFuel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Inc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>." розробив високоефективну технологію виробництва біопалива з відходів. Вони уклали ліцензійну угоду з індійською державною енергетичною корпорацією. Проте, після першого року співпраці, індійська сторона повідомляє про низьку продуктивність через "несумісність місцевої сировини" та "складність експлуатації".</w:t>
      </w:r>
    </w:p>
    <w:p w:rsidR="0038664D" w:rsidRPr="0038664D" w:rsidRDefault="0038664D" w:rsidP="0038664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Які ключові аспекти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консалтингу трансферу технологій</w:t>
      </w:r>
      <w:r w:rsidRPr="0038664D">
        <w:rPr>
          <w:rFonts w:eastAsia="Times New Roman"/>
          <w:sz w:val="24"/>
          <w:szCs w:val="24"/>
          <w:lang w:eastAsia="uk-UA"/>
        </w:rPr>
        <w:t xml:space="preserve"> були, ймовірно, проігноровані? Запропонуйте консалтингові дії для виправлення ситуації.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4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Створення Міжнародного Венчурного Фонду (П. 4)</w:t>
      </w:r>
    </w:p>
    <w:p w:rsidR="0038664D" w:rsidRPr="0038664D" w:rsidRDefault="0038664D" w:rsidP="003866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Європейський банк розвитку вирішив створити венчурний фонд із капіталом $50 млн, орієнтований на фінансування інноваційних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стартапів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у сфері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FinTech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у країнах Східної Європи. Банк не має досвіду венчурного інвестування.</w:t>
      </w:r>
    </w:p>
    <w:p w:rsidR="0038664D" w:rsidRPr="0038664D" w:rsidRDefault="0038664D" w:rsidP="0038664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Яку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інноваційну структуру</w:t>
      </w:r>
      <w:r w:rsidRPr="0038664D">
        <w:rPr>
          <w:rFonts w:eastAsia="Times New Roman"/>
          <w:sz w:val="24"/>
          <w:szCs w:val="24"/>
          <w:lang w:eastAsia="uk-UA"/>
        </w:rPr>
        <w:t xml:space="preserve"> (П. 4) варто створити (або залучити) для управління цим фондом? Яка основна мета консалтингу на цьому етапі?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5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Оцінка Об'єкта Інноваційного Консалтингу (П. 2, П. 3)</w:t>
      </w:r>
    </w:p>
    <w:p w:rsidR="0038664D" w:rsidRPr="0038664D" w:rsidRDefault="0038664D" w:rsidP="003866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Канадська компанія "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MediAI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>" розробила діагностичний інструмент на основі ШІ для раннього виявлення онкологічних захворювань. Вони шукають консалтинг для комерціалізації цього продукту в ЄС.</w:t>
      </w:r>
    </w:p>
    <w:p w:rsidR="0038664D" w:rsidRPr="0038664D" w:rsidRDefault="0038664D" w:rsidP="0038664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Визначте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об'єкт консалтингу</w:t>
      </w:r>
      <w:r w:rsidRPr="0038664D">
        <w:rPr>
          <w:rFonts w:eastAsia="Times New Roman"/>
          <w:sz w:val="24"/>
          <w:szCs w:val="24"/>
          <w:lang w:eastAsia="uk-UA"/>
        </w:rPr>
        <w:t xml:space="preserve"> та ключову складність оцінки вартості цього об'єкта при виході на ринок ЄС.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sz w:val="27"/>
          <w:szCs w:val="27"/>
          <w:lang w:eastAsia="uk-UA"/>
        </w:rPr>
      </w:pPr>
      <w:r w:rsidRPr="0038664D">
        <w:rPr>
          <w:rFonts w:eastAsia="Times New Roman"/>
          <w:b/>
          <w:bCs/>
          <w:sz w:val="27"/>
          <w:szCs w:val="27"/>
          <w:lang w:eastAsia="uk-UA"/>
        </w:rPr>
        <w:t>ЛЕКЦІЯ 11. ТНК ЯК ОБ'ЄКТ МІЖНАРОДНОГО БІЗНЕС-КОНСАЛТИНГУ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lastRenderedPageBreak/>
        <w:t>Кейс 6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Оптимізація Ланцюга Створення Вартості ТНК (П. 1, П. 2)</w:t>
      </w:r>
    </w:p>
    <w:p w:rsidR="0038664D" w:rsidRPr="0038664D" w:rsidRDefault="0038664D" w:rsidP="003866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Американська ТНК "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GlobalShoes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>" (виробництво в Азії, дизайн у Європі, штаб-квартира в США) зіткнулася зі зростанням витрат на логістику та митні збори через геополітичну нестабільність. Менеджмент вирішив залучити консалтинг для "підвищення ефективності".</w:t>
      </w:r>
    </w:p>
    <w:p w:rsidR="0038664D" w:rsidRPr="0038664D" w:rsidRDefault="0038664D" w:rsidP="0038664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Який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вид консалтингових послуг</w:t>
      </w:r>
      <w:r w:rsidRPr="0038664D">
        <w:rPr>
          <w:rFonts w:eastAsia="Times New Roman"/>
          <w:sz w:val="24"/>
          <w:szCs w:val="24"/>
          <w:lang w:eastAsia="uk-UA"/>
        </w:rPr>
        <w:t xml:space="preserve"> (П. 2) є найбільш актуальним для вирішення цієї проблеми? Яка має бути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мета</w:t>
      </w:r>
      <w:r w:rsidRPr="0038664D">
        <w:rPr>
          <w:rFonts w:eastAsia="Times New Roman"/>
          <w:sz w:val="24"/>
          <w:szCs w:val="24"/>
          <w:lang w:eastAsia="uk-UA"/>
        </w:rPr>
        <w:t xml:space="preserve"> консалтингового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>?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7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Крос-Культурна Складова в Злитті (П. 3, П. 4)</w:t>
      </w:r>
    </w:p>
    <w:p w:rsidR="0038664D" w:rsidRPr="0038664D" w:rsidRDefault="0038664D" w:rsidP="003866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Французька ТНК у сфері предметів розкоші ("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HauteMode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>") поглинає японську сімейну компанію, відому своєю філософією "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Kaidzen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>" (безперервне вдосконалення) та суворою ієрархією. Наступного дня після юридичного злиття французький менеджмент запроваджує "гнучкий графік" та "відкритий офіс". Це викликає масові звільнення серед ключових японських інженерів.</w:t>
      </w:r>
    </w:p>
    <w:p w:rsidR="0038664D" w:rsidRPr="0038664D" w:rsidRDefault="0038664D" w:rsidP="0038664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Як консалтингова компанія, проаналізуйте ситуацію через призму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крос-культурної складової консалтингу</w:t>
      </w:r>
      <w:r w:rsidRPr="0038664D">
        <w:rPr>
          <w:rFonts w:eastAsia="Times New Roman"/>
          <w:sz w:val="24"/>
          <w:szCs w:val="24"/>
          <w:lang w:eastAsia="uk-UA"/>
        </w:rPr>
        <w:t xml:space="preserve"> (П. 4) та запропонуйте план інтеграції.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8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Консультування з Транскордонного Поглинання (П. 3)</w:t>
      </w:r>
    </w:p>
    <w:p w:rsidR="0038664D" w:rsidRPr="0038664D" w:rsidRDefault="0038664D" w:rsidP="003866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Китайська державна енергетична корпорація планує поглинання невеликої, але стратегічно важливої, німецької компанії, яка володіє інноваційною технологією зберігання енергії. Очікується значний політичний опір з боку німецького уряду.</w:t>
      </w:r>
    </w:p>
    <w:p w:rsidR="0038664D" w:rsidRPr="0038664D" w:rsidRDefault="0038664D" w:rsidP="0038664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Які ключові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види </w:t>
      </w:r>
      <w:proofErr w:type="spellStart"/>
      <w:r w:rsidRPr="0038664D">
        <w:rPr>
          <w:rFonts w:eastAsia="Times New Roman"/>
          <w:b/>
          <w:bCs/>
          <w:sz w:val="24"/>
          <w:szCs w:val="24"/>
          <w:lang w:eastAsia="uk-UA"/>
        </w:rPr>
        <w:t>Due</w:t>
      </w:r>
      <w:proofErr w:type="spellEnd"/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38664D">
        <w:rPr>
          <w:rFonts w:eastAsia="Times New Roman"/>
          <w:b/>
          <w:bCs/>
          <w:sz w:val="24"/>
          <w:szCs w:val="24"/>
          <w:lang w:eastAsia="uk-UA"/>
        </w:rPr>
        <w:t>Diligence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(комплексної перевірки) мають бути пріоритетними в консалтинговому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проєкті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та чому?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9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Консалтинг у Відповідь на</w:t>
      </w:r>
      <w:bookmarkStart w:id="0" w:name="_GoBack"/>
      <w:bookmarkEnd w:id="0"/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"Феномен ТНК" (П. 1, П. 2)</w:t>
      </w:r>
    </w:p>
    <w:p w:rsidR="0038664D" w:rsidRPr="0038664D" w:rsidRDefault="0038664D" w:rsidP="003866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Середня за розміром IT-компанія з Польщі ("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TechPol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>") швидко зростає та відкриває філії в Німеччині та США. Менеджмент відчуває, що їхні внутрішні процеси не витримують "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транснаціоналізації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бізнесу" і потребують реорганізації, щоб стати повноцінною ТНК.</w:t>
      </w:r>
    </w:p>
    <w:p w:rsidR="0038664D" w:rsidRPr="0038664D" w:rsidRDefault="0038664D" w:rsidP="0038664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Обґрунтуйте, чому "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TechPol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" вже є об'єктом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міжнародного бізнес-консалтингу</w:t>
      </w:r>
      <w:r w:rsidRPr="0038664D">
        <w:rPr>
          <w:rFonts w:eastAsia="Times New Roman"/>
          <w:sz w:val="24"/>
          <w:szCs w:val="24"/>
          <w:lang w:eastAsia="uk-UA"/>
        </w:rPr>
        <w:t xml:space="preserve"> і сформулюйте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мету</w:t>
      </w:r>
      <w:r w:rsidRPr="0038664D">
        <w:rPr>
          <w:rFonts w:eastAsia="Times New Roman"/>
          <w:sz w:val="24"/>
          <w:szCs w:val="24"/>
          <w:lang w:eastAsia="uk-UA"/>
        </w:rPr>
        <w:t xml:space="preserve"> цього консалтингу, що відповідає ознакам ТНК.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10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Управління Ризиками ТНК та Інноваціями (П. 1, Лекція 10)</w:t>
      </w:r>
    </w:p>
    <w:p w:rsidR="0038664D" w:rsidRPr="0038664D" w:rsidRDefault="0038664D" w:rsidP="003866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Японська ТНК "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RobotWorld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>" розглядає можливість перенесення частини свого високотехнологічного виробництва робототехніки з Японії до Мексики для зниження витрат. Це рішення вимагає трансферу новітніх, але ще не повністю апробованих, інноваційних процесів.</w:t>
      </w:r>
    </w:p>
    <w:p w:rsidR="0038664D" w:rsidRPr="0038664D" w:rsidRDefault="0038664D" w:rsidP="0038664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Як консалтингова фірма, інтегруйте знання з обох лекцій (Інновації та ТНК) і виявіть три ключові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інтегровані ризики</w:t>
      </w:r>
      <w:r w:rsidRPr="0038664D">
        <w:rPr>
          <w:rFonts w:eastAsia="Times New Roman"/>
          <w:sz w:val="24"/>
          <w:szCs w:val="24"/>
          <w:lang w:eastAsia="uk-UA"/>
        </w:rPr>
        <w:t>, які необхідно мінімізувати.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11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Оцінка Інновації для M&amp;A (П. 3, Л. 10 + П. 3, Л. 11)</w:t>
      </w:r>
    </w:p>
    <w:p w:rsidR="0038664D" w:rsidRPr="0038664D" w:rsidRDefault="0038664D" w:rsidP="003866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ТНК "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PharmaCorp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" (Швейцарія) планує поглинути біотехнологічний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стартап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"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GeneFuture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>" (Ізраїль), ключовим активом якого є нова молекула, що перебуває на другій фазі клінічних випробувань.</w:t>
      </w:r>
    </w:p>
    <w:p w:rsidR="0038664D" w:rsidRPr="0038664D" w:rsidRDefault="0038664D" w:rsidP="0038664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Які дві найбільш критичні, але нефінансові, змінні мають бути оцінені консалтингом з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транскордонного M&amp;A</w:t>
      </w:r>
      <w:r w:rsidRPr="0038664D">
        <w:rPr>
          <w:rFonts w:eastAsia="Times New Roman"/>
          <w:sz w:val="24"/>
          <w:szCs w:val="24"/>
          <w:lang w:eastAsia="uk-UA"/>
        </w:rPr>
        <w:t xml:space="preserve">, щоб визначити реальну вартість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стартапу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>?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12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Стратегія Виходу для Венчурного Бізнесу (П. 4, Л. 10 + П. 3, Л. 11)</w:t>
      </w:r>
    </w:p>
    <w:p w:rsidR="0038664D" w:rsidRPr="0038664D" w:rsidRDefault="0038664D" w:rsidP="003866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Венчурний фонд (П. 4, Л. 10)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проінвестував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у британський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EdTech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стартап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>, який досяг успіху на ринках ЄС та США. Фонд планує вихід через продаж компанії міжнародній ТНК.</w:t>
      </w:r>
    </w:p>
    <w:p w:rsidR="0038664D" w:rsidRPr="0038664D" w:rsidRDefault="0038664D" w:rsidP="0038664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Який тип ТНК (П. 1, Л. 11) буде найбільш зацікавлений у цьому поглинанні та які два аргументи має надати консалтинг для підвищення ціни продажу?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13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Локалізація Наукомісткого Виробництва (П. 1, Л. 10 + П. 4, Л. 11)</w:t>
      </w:r>
    </w:p>
    <w:p w:rsidR="0038664D" w:rsidRPr="0038664D" w:rsidRDefault="0038664D" w:rsidP="003866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Американська авіаційна ТНК вирішила відкрити завод із виробництва композитних матеріалів у Малайзії. Місцеві інженери висококваліфіковані, але їхня корпоративна культура відрізняється високою повагою до керівництва та небажанням публічно критикувати виробничий процес.</w:t>
      </w:r>
    </w:p>
    <w:p w:rsidR="0038664D" w:rsidRPr="0038664D" w:rsidRDefault="0038664D" w:rsidP="0038664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Яким чином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крос-культурний консалтинг</w:t>
      </w:r>
      <w:r w:rsidRPr="0038664D">
        <w:rPr>
          <w:rFonts w:eastAsia="Times New Roman"/>
          <w:sz w:val="24"/>
          <w:szCs w:val="24"/>
          <w:lang w:eastAsia="uk-UA"/>
        </w:rPr>
        <w:t xml:space="preserve"> має вирішити проблему, що може призвести до прихованих дефектів у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наукомісткому виробництві</w:t>
      </w:r>
      <w:r w:rsidRPr="0038664D">
        <w:rPr>
          <w:rFonts w:eastAsia="Times New Roman"/>
          <w:sz w:val="24"/>
          <w:szCs w:val="24"/>
          <w:lang w:eastAsia="uk-UA"/>
        </w:rPr>
        <w:t>?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14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Оцінка Потенціалу Інноваційної Структури (П. 4, Л. 10)</w:t>
      </w:r>
    </w:p>
    <w:p w:rsidR="0038664D" w:rsidRPr="0038664D" w:rsidRDefault="0038664D" w:rsidP="003866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Влада регіону в Південній Кореї вирішила створити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Технологічний Парк (</w:t>
      </w:r>
      <w:proofErr w:type="spellStart"/>
      <w:r w:rsidRPr="0038664D">
        <w:rPr>
          <w:rFonts w:eastAsia="Times New Roman"/>
          <w:b/>
          <w:bCs/>
          <w:sz w:val="24"/>
          <w:szCs w:val="24"/>
          <w:lang w:eastAsia="uk-UA"/>
        </w:rPr>
        <w:t>Innovation</w:t>
      </w:r>
      <w:proofErr w:type="spellEnd"/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38664D">
        <w:rPr>
          <w:rFonts w:eastAsia="Times New Roman"/>
          <w:b/>
          <w:bCs/>
          <w:sz w:val="24"/>
          <w:szCs w:val="24"/>
          <w:lang w:eastAsia="uk-UA"/>
        </w:rPr>
        <w:t>Hub</w:t>
      </w:r>
      <w:proofErr w:type="spellEnd"/>
      <w:r w:rsidRPr="0038664D">
        <w:rPr>
          <w:rFonts w:eastAsia="Times New Roman"/>
          <w:b/>
          <w:bCs/>
          <w:sz w:val="24"/>
          <w:szCs w:val="24"/>
          <w:lang w:eastAsia="uk-UA"/>
        </w:rPr>
        <w:t>)</w:t>
      </w:r>
      <w:r w:rsidRPr="0038664D">
        <w:rPr>
          <w:rFonts w:eastAsia="Times New Roman"/>
          <w:sz w:val="24"/>
          <w:szCs w:val="24"/>
          <w:lang w:eastAsia="uk-UA"/>
        </w:rPr>
        <w:t>, орієнтований на розвиток "зелених" технологій. Вони залучають міжнародний консалтинг для оцінки ефективності майбутньої структури.</w:t>
      </w:r>
    </w:p>
    <w:p w:rsidR="0038664D" w:rsidRPr="0038664D" w:rsidRDefault="0038664D" w:rsidP="0038664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Назвіть три ключові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KPI</w:t>
      </w:r>
      <w:r w:rsidRPr="0038664D">
        <w:rPr>
          <w:rFonts w:eastAsia="Times New Roman"/>
          <w:sz w:val="24"/>
          <w:szCs w:val="24"/>
          <w:lang w:eastAsia="uk-UA"/>
        </w:rPr>
        <w:t xml:space="preserve"> (ключові показники ефективності), які консалтинг має розробити для оцінки успішності цього Технопарку як інноваційної структури на міжнародному рівні.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15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Міжнародний Консалтинг та Законодавчі Зміни (П. 2, Л. 10 + П. 2, Л. 11)</w:t>
      </w:r>
    </w:p>
    <w:p w:rsidR="0038664D" w:rsidRPr="0038664D" w:rsidRDefault="0038664D" w:rsidP="003866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Американська ТНК, що займається розробкою програмного забезпечення, має великий центр R&amp;D в Ірландії. Ірландський уряд оголошує про можливе скасування податкових пільг для R&amp;D, що значно підвищить витрати.</w:t>
      </w:r>
    </w:p>
    <w:p w:rsidR="0038664D" w:rsidRPr="0038664D" w:rsidRDefault="0038664D" w:rsidP="0038664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Які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види консалтингових послуг</w:t>
      </w:r>
      <w:r w:rsidRPr="0038664D">
        <w:rPr>
          <w:rFonts w:eastAsia="Times New Roman"/>
          <w:sz w:val="24"/>
          <w:szCs w:val="24"/>
          <w:lang w:eastAsia="uk-UA"/>
        </w:rPr>
        <w:t xml:space="preserve"> (П. 2, Л. 11) мають бути негайно надані, і якою має бути стратегічна реакція на ризик для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наукомісткого виробництва</w:t>
      </w:r>
      <w:r w:rsidRPr="0038664D">
        <w:rPr>
          <w:rFonts w:eastAsia="Times New Roman"/>
          <w:sz w:val="24"/>
          <w:szCs w:val="24"/>
          <w:lang w:eastAsia="uk-UA"/>
        </w:rPr>
        <w:t xml:space="preserve"> ТНК?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16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Крос-Культурна Проблема в Спільних R&amp;D Проектах (П. 4, Л. 11 + П. 1, Л. 10)</w:t>
      </w:r>
    </w:p>
    <w:p w:rsidR="0038664D" w:rsidRPr="0038664D" w:rsidRDefault="0038664D" w:rsidP="003866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ТНК "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PharmaGiant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" (США) уклала спільний R&amp;D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проєкт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із приватним дослідницьким інститутом у Південній Кореї для розробки нової вакцини. Американська сторона очікує швидких результатів і високої агресивності в досягненні цілей, тоді як корейська команда вважає пріоритетом "безпечність, гармонію та консенсус". Це призводить до затримки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проєкту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>.</w:t>
      </w:r>
    </w:p>
    <w:p w:rsidR="0038664D" w:rsidRPr="0038664D" w:rsidRDefault="0038664D" w:rsidP="0038664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Використовуючи модель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Хофстеде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(або подібну), поясніть конфлікт і запропонуйте механізм його вирішення за допомогою консалтингу.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17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Антимонопольний Консалтинг у M&amp;A (П. 3, Л. 11)</w:t>
      </w:r>
    </w:p>
    <w:p w:rsidR="0038664D" w:rsidRPr="0038664D" w:rsidRDefault="0038664D" w:rsidP="003866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Дві найбільші світові ТНК у сфері виробництва напоїв планують злиття (M&amp;A). Їхня сукупна частка на ринку ЄС перевищує 70%. Європейська Комісія (ЄК) вимагає суттєвих поступок, щоб схвалити угоду.</w:t>
      </w:r>
    </w:p>
    <w:p w:rsidR="0038664D" w:rsidRPr="0038664D" w:rsidRDefault="0038664D" w:rsidP="0038664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Яке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Pr="0038664D">
        <w:rPr>
          <w:rFonts w:eastAsia="Times New Roman"/>
          <w:sz w:val="24"/>
          <w:szCs w:val="24"/>
          <w:lang w:eastAsia="uk-UA"/>
        </w:rPr>
        <w:t xml:space="preserve"> має виконати консалтинг для отримання схвалення ЄК? Запропонуйте два можливі "засоби правового захисту" (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Remedies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>).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18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Консультування Експорту Технологій через ТНК (П. 3, Л. 10 + П. 2, Л. 11)</w:t>
      </w:r>
    </w:p>
    <w:p w:rsidR="0038664D" w:rsidRPr="0038664D" w:rsidRDefault="0038664D" w:rsidP="003866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Невеликий ізраїльський інститут розробив технологію очищення води. Вони хочуть вивести її на ринки Африки, але не мають необхідних ресурсів. Єдиний варіант – ліцензування технології міжнародній ТНК, яка вже має там дистрибуцію.</w:t>
      </w:r>
    </w:p>
    <w:p w:rsidR="0038664D" w:rsidRPr="0038664D" w:rsidRDefault="0038664D" w:rsidP="0038664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Який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вид консалтингових послуг</w:t>
      </w:r>
      <w:r w:rsidRPr="0038664D">
        <w:rPr>
          <w:rFonts w:eastAsia="Times New Roman"/>
          <w:sz w:val="24"/>
          <w:szCs w:val="24"/>
          <w:lang w:eastAsia="uk-UA"/>
        </w:rPr>
        <w:t xml:space="preserve"> (П. 2, Л. 11) потрібно надати інституту? Які два ключові пункти мають бути внесені в ліцензійну угоду для захисту інтересів інституту?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19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Венчурний Бізнес та Регуляторні Бар'єри (П. 4, Л. 10)</w:t>
      </w:r>
    </w:p>
    <w:p w:rsidR="0038664D" w:rsidRPr="0038664D" w:rsidRDefault="0038664D" w:rsidP="003866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Міжнародний венчурний фонд інвестував у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стартап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із виробництва автономних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дронів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для сільського господарства.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Стартап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успішно працює в ЄС, але при виході на ринок США він зіткнувся з </w:t>
      </w:r>
      <w:proofErr w:type="spellStart"/>
      <w:r w:rsidRPr="0038664D">
        <w:rPr>
          <w:rFonts w:eastAsia="Times New Roman"/>
          <w:sz w:val="24"/>
          <w:szCs w:val="24"/>
          <w:lang w:eastAsia="uk-UA"/>
        </w:rPr>
        <w:t>непередбачувано</w:t>
      </w:r>
      <w:proofErr w:type="spellEnd"/>
      <w:r w:rsidRPr="0038664D">
        <w:rPr>
          <w:rFonts w:eastAsia="Times New Roman"/>
          <w:sz w:val="24"/>
          <w:szCs w:val="24"/>
          <w:lang w:eastAsia="uk-UA"/>
        </w:rPr>
        <w:t xml:space="preserve"> суворими правилами Федерального управління авіації (FAA). Це створює загрозу для інвестицій.</w:t>
      </w:r>
    </w:p>
    <w:p w:rsidR="0038664D" w:rsidRPr="0038664D" w:rsidRDefault="0038664D" w:rsidP="0038664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Яку роль у цій ситуації має відіграти консалтинг розвитку венчурного бізнесу? Запропонуйте стратегію "м'якого" входу на ринок США.</w:t>
      </w:r>
    </w:p>
    <w:p w:rsidR="0038664D" w:rsidRPr="0038664D" w:rsidRDefault="0038664D" w:rsidP="0038664D">
      <w:pPr>
        <w:spacing w:before="100" w:beforeAutospacing="1" w:after="100" w:afterAutospacing="1" w:line="240" w:lineRule="auto"/>
        <w:outlineLvl w:val="3"/>
        <w:rPr>
          <w:rFonts w:eastAsia="Times New Roman"/>
          <w:b/>
          <w:bCs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Кейс 20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 xml:space="preserve"> Консалтинг Крос-Культурної Комунікації (П. 4, Л. 11)</w:t>
      </w:r>
    </w:p>
    <w:p w:rsidR="0038664D" w:rsidRPr="0038664D" w:rsidRDefault="0038664D" w:rsidP="003866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Ситуація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Штаб-квартира ТНК у Бразилії (високий контекст комунікації, емоційність) намагається інтегрувати відділ продажів із Фінляндії (низький контекст, пряма, логічна комунікація). Бразильський відділ вважає фінські звіти "занадто сухими та неповними", а фінський відділ вважає бразильські дзвінки "надто емоційними та непродуктивними".</w:t>
      </w:r>
    </w:p>
    <w:p w:rsidR="0038664D" w:rsidRPr="0038664D" w:rsidRDefault="0038664D" w:rsidP="0038664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38664D">
        <w:rPr>
          <w:rFonts w:eastAsia="Times New Roman"/>
          <w:b/>
          <w:bCs/>
          <w:sz w:val="24"/>
          <w:szCs w:val="24"/>
          <w:lang w:eastAsia="uk-UA"/>
        </w:rPr>
        <w:t>Завдання</w:t>
      </w:r>
      <w:r w:rsidR="00CE0C48">
        <w:rPr>
          <w:rFonts w:eastAsia="Times New Roman"/>
          <w:b/>
          <w:bCs/>
          <w:sz w:val="24"/>
          <w:szCs w:val="24"/>
          <w:lang w:eastAsia="uk-UA"/>
        </w:rPr>
        <w:t>.</w:t>
      </w:r>
      <w:r w:rsidRPr="0038664D">
        <w:rPr>
          <w:rFonts w:eastAsia="Times New Roman"/>
          <w:sz w:val="24"/>
          <w:szCs w:val="24"/>
          <w:lang w:eastAsia="uk-UA"/>
        </w:rPr>
        <w:t xml:space="preserve"> Який ключовий інструмент має впровадити консалтинг, щоб забезпечити ефективну </w:t>
      </w:r>
      <w:r w:rsidRPr="0038664D">
        <w:rPr>
          <w:rFonts w:eastAsia="Times New Roman"/>
          <w:b/>
          <w:bCs/>
          <w:sz w:val="24"/>
          <w:szCs w:val="24"/>
          <w:lang w:eastAsia="uk-UA"/>
        </w:rPr>
        <w:t>крос-культурну комунікацію</w:t>
      </w:r>
      <w:r w:rsidRPr="0038664D">
        <w:rPr>
          <w:rFonts w:eastAsia="Times New Roman"/>
          <w:sz w:val="24"/>
          <w:szCs w:val="24"/>
          <w:lang w:eastAsia="uk-UA"/>
        </w:rPr>
        <w:t>?</w:t>
      </w:r>
    </w:p>
    <w:sectPr w:rsidR="0038664D" w:rsidRPr="0038664D" w:rsidSect="006A3E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607"/>
    <w:multiLevelType w:val="multilevel"/>
    <w:tmpl w:val="9576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8544B"/>
    <w:multiLevelType w:val="multilevel"/>
    <w:tmpl w:val="0DF2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F0E75"/>
    <w:multiLevelType w:val="multilevel"/>
    <w:tmpl w:val="8DEE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A55FA2"/>
    <w:multiLevelType w:val="multilevel"/>
    <w:tmpl w:val="063A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3B541C"/>
    <w:multiLevelType w:val="multilevel"/>
    <w:tmpl w:val="E9EA3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820444"/>
    <w:multiLevelType w:val="multilevel"/>
    <w:tmpl w:val="A65E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6D006F"/>
    <w:multiLevelType w:val="multilevel"/>
    <w:tmpl w:val="8B5E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F7663"/>
    <w:multiLevelType w:val="multilevel"/>
    <w:tmpl w:val="21E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A141BE"/>
    <w:multiLevelType w:val="multilevel"/>
    <w:tmpl w:val="B79C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4E78D6"/>
    <w:multiLevelType w:val="multilevel"/>
    <w:tmpl w:val="EC3A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ED15C5"/>
    <w:multiLevelType w:val="multilevel"/>
    <w:tmpl w:val="B4DA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4401B"/>
    <w:multiLevelType w:val="multilevel"/>
    <w:tmpl w:val="070E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FA0D6F"/>
    <w:multiLevelType w:val="multilevel"/>
    <w:tmpl w:val="FFE6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25AC9"/>
    <w:multiLevelType w:val="multilevel"/>
    <w:tmpl w:val="3002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C51C4"/>
    <w:multiLevelType w:val="multilevel"/>
    <w:tmpl w:val="29B8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882B84"/>
    <w:multiLevelType w:val="multilevel"/>
    <w:tmpl w:val="5242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1326DC8"/>
    <w:multiLevelType w:val="multilevel"/>
    <w:tmpl w:val="C1266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A71581"/>
    <w:multiLevelType w:val="multilevel"/>
    <w:tmpl w:val="686C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8D38D8"/>
    <w:multiLevelType w:val="multilevel"/>
    <w:tmpl w:val="D334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BD0817"/>
    <w:multiLevelType w:val="multilevel"/>
    <w:tmpl w:val="094C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6"/>
  </w:num>
  <w:num w:numId="5">
    <w:abstractNumId w:val="7"/>
  </w:num>
  <w:num w:numId="6">
    <w:abstractNumId w:val="4"/>
  </w:num>
  <w:num w:numId="7">
    <w:abstractNumId w:val="15"/>
  </w:num>
  <w:num w:numId="8">
    <w:abstractNumId w:val="8"/>
  </w:num>
  <w:num w:numId="9">
    <w:abstractNumId w:val="9"/>
  </w:num>
  <w:num w:numId="10">
    <w:abstractNumId w:val="6"/>
  </w:num>
  <w:num w:numId="11">
    <w:abstractNumId w:val="14"/>
  </w:num>
  <w:num w:numId="12">
    <w:abstractNumId w:val="11"/>
  </w:num>
  <w:num w:numId="13">
    <w:abstractNumId w:val="2"/>
  </w:num>
  <w:num w:numId="14">
    <w:abstractNumId w:val="19"/>
  </w:num>
  <w:num w:numId="15">
    <w:abstractNumId w:val="10"/>
  </w:num>
  <w:num w:numId="16">
    <w:abstractNumId w:val="13"/>
  </w:num>
  <w:num w:numId="17">
    <w:abstractNumId w:val="3"/>
  </w:num>
  <w:num w:numId="18">
    <w:abstractNumId w:val="17"/>
  </w:num>
  <w:num w:numId="19">
    <w:abstractNumId w:val="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64D"/>
    <w:rsid w:val="0038664D"/>
    <w:rsid w:val="00517571"/>
    <w:rsid w:val="006A3EA6"/>
    <w:rsid w:val="00851B35"/>
    <w:rsid w:val="00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A328D-7E21-4B63-9B4E-2E9BF769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664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38664D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664D"/>
    <w:rPr>
      <w:rFonts w:eastAsia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38664D"/>
    <w:rPr>
      <w:rFonts w:eastAsia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3866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6312</Words>
  <Characters>3598</Characters>
  <Application>Microsoft Office Word</Application>
  <DocSecurity>0</DocSecurity>
  <Lines>29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2025-11-08T14:51:00Z</dcterms:created>
  <dcterms:modified xsi:type="dcterms:W3CDTF">2025-11-08T14:56:00Z</dcterms:modified>
</cp:coreProperties>
</file>