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0B852" w14:textId="77777777" w:rsidR="000F34D9" w:rsidRPr="000F34D9" w:rsidRDefault="000F34D9" w:rsidP="000F34D9">
      <w:pPr>
        <w:rPr>
          <w:rFonts w:ascii="Times New Roman" w:hAnsi="Times New Roman" w:cs="Times New Roman"/>
          <w:sz w:val="24"/>
          <w:szCs w:val="24"/>
        </w:rPr>
      </w:pPr>
      <w:r w:rsidRPr="000F34D9">
        <w:rPr>
          <w:rFonts w:ascii="Times New Roman" w:hAnsi="Times New Roman" w:cs="Times New Roman"/>
          <w:sz w:val="24"/>
          <w:szCs w:val="24"/>
        </w:rPr>
        <w:t xml:space="preserve">Основна література </w:t>
      </w:r>
    </w:p>
    <w:p w14:paraId="438FC369" w14:textId="3430A186" w:rsidR="000F34D9" w:rsidRPr="000F34D9" w:rsidRDefault="000F34D9" w:rsidP="000F34D9">
      <w:pPr>
        <w:rPr>
          <w:rFonts w:ascii="Times New Roman" w:hAnsi="Times New Roman" w:cs="Times New Roman"/>
          <w:sz w:val="24"/>
          <w:szCs w:val="24"/>
        </w:rPr>
      </w:pPr>
      <w:r w:rsidRPr="000F34D9">
        <w:rPr>
          <w:rFonts w:ascii="Times New Roman" w:hAnsi="Times New Roman" w:cs="Times New Roman"/>
          <w:sz w:val="24"/>
          <w:szCs w:val="24"/>
        </w:rPr>
        <w:t xml:space="preserve">1. Науково-практичний коментар Господарського процесуального кодексу України (станом на 20.01.2018 р.) / за заг ред. О. С. Короєда. Київ : Центр навчальної літератури, 2018. 400 с.  </w:t>
      </w:r>
    </w:p>
    <w:p w14:paraId="7D487C57" w14:textId="77777777" w:rsidR="000F34D9" w:rsidRPr="000F34D9" w:rsidRDefault="000F34D9" w:rsidP="000F34D9">
      <w:pPr>
        <w:rPr>
          <w:rFonts w:ascii="Times New Roman" w:hAnsi="Times New Roman" w:cs="Times New Roman"/>
          <w:sz w:val="24"/>
          <w:szCs w:val="24"/>
        </w:rPr>
      </w:pPr>
      <w:r w:rsidRPr="000F34D9">
        <w:rPr>
          <w:rFonts w:ascii="Times New Roman" w:hAnsi="Times New Roman" w:cs="Times New Roman"/>
          <w:sz w:val="24"/>
          <w:szCs w:val="24"/>
        </w:rPr>
        <w:t xml:space="preserve">2. Господарський процес в суді першої інстанції за новими правилами. </w:t>
      </w:r>
    </w:p>
    <w:p w14:paraId="60D716B5" w14:textId="77777777" w:rsidR="000F34D9" w:rsidRPr="000F34D9" w:rsidRDefault="000F34D9" w:rsidP="000F34D9">
      <w:pPr>
        <w:rPr>
          <w:rFonts w:ascii="Times New Roman" w:hAnsi="Times New Roman" w:cs="Times New Roman"/>
          <w:sz w:val="24"/>
          <w:szCs w:val="24"/>
        </w:rPr>
      </w:pPr>
      <w:r w:rsidRPr="000F34D9">
        <w:rPr>
          <w:rFonts w:ascii="Times New Roman" w:hAnsi="Times New Roman" w:cs="Times New Roman"/>
          <w:sz w:val="24"/>
          <w:szCs w:val="24"/>
        </w:rPr>
        <w:t xml:space="preserve">Книга-інфографіка / Т. Васильченко, О. Причко. Київ : Алерта, 2018. 472 с.  </w:t>
      </w:r>
    </w:p>
    <w:p w14:paraId="258F55F6" w14:textId="48B168D2" w:rsidR="000F34D9" w:rsidRPr="000F34D9" w:rsidRDefault="000F34D9" w:rsidP="000F34D9">
      <w:pPr>
        <w:rPr>
          <w:rFonts w:ascii="Times New Roman" w:hAnsi="Times New Roman" w:cs="Times New Roman"/>
          <w:sz w:val="24"/>
          <w:szCs w:val="24"/>
        </w:rPr>
      </w:pPr>
      <w:r w:rsidRPr="000F34D9">
        <w:rPr>
          <w:rFonts w:ascii="Times New Roman" w:hAnsi="Times New Roman" w:cs="Times New Roman"/>
          <w:sz w:val="24"/>
          <w:szCs w:val="24"/>
        </w:rPr>
        <w:t xml:space="preserve">3. Постанови Пленуму Верховного Суду у господарському судочинстві / упор. Р.В. Вереша. Київ: Алерта, 2018. 398 с.  </w:t>
      </w:r>
    </w:p>
    <w:p w14:paraId="459D23E3" w14:textId="2EE2CE98" w:rsidR="000F34D9" w:rsidRPr="000F34D9" w:rsidRDefault="000F34D9" w:rsidP="000F34D9">
      <w:pPr>
        <w:rPr>
          <w:rFonts w:ascii="Times New Roman" w:hAnsi="Times New Roman" w:cs="Times New Roman"/>
          <w:sz w:val="24"/>
          <w:szCs w:val="24"/>
        </w:rPr>
      </w:pPr>
      <w:r w:rsidRPr="000F34D9">
        <w:rPr>
          <w:rFonts w:ascii="Times New Roman" w:hAnsi="Times New Roman" w:cs="Times New Roman"/>
          <w:sz w:val="24"/>
          <w:szCs w:val="24"/>
        </w:rPr>
        <w:t xml:space="preserve">4. Поляков Р. Мирова угода в господарському процесі: правова природа та співвідношення різновидів. Підприємництво, господарство і право. 2020. № 6.. </w:t>
      </w:r>
    </w:p>
    <w:p w14:paraId="6517961A" w14:textId="30F48017" w:rsidR="000F34D9" w:rsidRPr="000F34D9" w:rsidRDefault="000F34D9" w:rsidP="000F34D9">
      <w:pPr>
        <w:rPr>
          <w:rFonts w:ascii="Times New Roman" w:hAnsi="Times New Roman" w:cs="Times New Roman"/>
          <w:sz w:val="24"/>
          <w:szCs w:val="24"/>
        </w:rPr>
      </w:pPr>
      <w:r w:rsidRPr="000F34D9">
        <w:rPr>
          <w:rFonts w:ascii="Times New Roman" w:hAnsi="Times New Roman" w:cs="Times New Roman"/>
          <w:sz w:val="24"/>
          <w:szCs w:val="24"/>
        </w:rPr>
        <w:t xml:space="preserve">5. Зятіна Д. Перегляд судових рішень у звʼязку з виключними обставинами на підставі п. 1 ч. 3 ст. 320 ГПК України. Підприємництво, господарство і право. 2020. № 4. </w:t>
      </w:r>
    </w:p>
    <w:p w14:paraId="24BAB24A" w14:textId="2D910EE0" w:rsidR="000F34D9" w:rsidRPr="000F34D9" w:rsidRDefault="000F34D9" w:rsidP="000F34D9">
      <w:pPr>
        <w:rPr>
          <w:rFonts w:ascii="Times New Roman" w:hAnsi="Times New Roman" w:cs="Times New Roman"/>
          <w:sz w:val="24"/>
          <w:szCs w:val="24"/>
        </w:rPr>
      </w:pPr>
      <w:r w:rsidRPr="000F34D9">
        <w:rPr>
          <w:rFonts w:ascii="Times New Roman" w:hAnsi="Times New Roman" w:cs="Times New Roman"/>
          <w:sz w:val="24"/>
          <w:szCs w:val="24"/>
        </w:rPr>
        <w:t xml:space="preserve">6. Пільков К. Властивості доказів та критерії їх оцінювання. Підприємництво, господарство і право. 2020. № 4. </w:t>
      </w:r>
    </w:p>
    <w:p w14:paraId="78E24F3D" w14:textId="4B9EFE5D" w:rsidR="000F34D9" w:rsidRPr="000F34D9" w:rsidRDefault="000F34D9" w:rsidP="000F34D9">
      <w:pPr>
        <w:rPr>
          <w:rFonts w:ascii="Times New Roman" w:hAnsi="Times New Roman" w:cs="Times New Roman"/>
          <w:sz w:val="24"/>
          <w:szCs w:val="24"/>
        </w:rPr>
      </w:pPr>
      <w:r w:rsidRPr="000F34D9">
        <w:rPr>
          <w:rFonts w:ascii="Times New Roman" w:hAnsi="Times New Roman" w:cs="Times New Roman"/>
          <w:sz w:val="24"/>
          <w:szCs w:val="24"/>
        </w:rPr>
        <w:t xml:space="preserve">7. Андрієчко І. Загальна характеристика принципів господарського судочинства. Підприємництво, господарство і право. 2019. № 12. </w:t>
      </w:r>
    </w:p>
    <w:p w14:paraId="16B47836" w14:textId="4A62CEA9" w:rsidR="000F34D9" w:rsidRPr="000F34D9" w:rsidRDefault="000F34D9" w:rsidP="000F34D9">
      <w:pPr>
        <w:rPr>
          <w:rFonts w:ascii="Times New Roman" w:hAnsi="Times New Roman" w:cs="Times New Roman"/>
          <w:sz w:val="24"/>
          <w:szCs w:val="24"/>
        </w:rPr>
      </w:pPr>
      <w:r w:rsidRPr="000F34D9">
        <w:rPr>
          <w:rFonts w:ascii="Times New Roman" w:hAnsi="Times New Roman" w:cs="Times New Roman"/>
          <w:sz w:val="24"/>
          <w:szCs w:val="24"/>
        </w:rPr>
        <w:t xml:space="preserve">8. Масловський С. Повноваження суду першої інстанції в провадженні у справі про банкрутство. Підприємництво, господарство і право. 2019. № 12. </w:t>
      </w:r>
    </w:p>
    <w:p w14:paraId="5938E1DE" w14:textId="4F64000D" w:rsidR="000F34D9" w:rsidRPr="000F34D9" w:rsidRDefault="000F34D9" w:rsidP="000F34D9">
      <w:pPr>
        <w:rPr>
          <w:rFonts w:ascii="Times New Roman" w:hAnsi="Times New Roman" w:cs="Times New Roman"/>
          <w:sz w:val="24"/>
          <w:szCs w:val="24"/>
        </w:rPr>
      </w:pPr>
      <w:r w:rsidRPr="000F34D9">
        <w:rPr>
          <w:rFonts w:ascii="Times New Roman" w:hAnsi="Times New Roman" w:cs="Times New Roman"/>
          <w:sz w:val="24"/>
          <w:szCs w:val="24"/>
        </w:rPr>
        <w:t xml:space="preserve">9. Ужакін Ю. Підстави судового розсуду при встановленні факту зловживання процесуальними правами у господарcькому процесі. Підприємництво, господарство і право. 2019. № 12. </w:t>
      </w:r>
    </w:p>
    <w:p w14:paraId="763DF662" w14:textId="77777777" w:rsidR="000F34D9" w:rsidRPr="000F34D9" w:rsidRDefault="000F34D9" w:rsidP="000F34D9">
      <w:pPr>
        <w:rPr>
          <w:rFonts w:ascii="Times New Roman" w:hAnsi="Times New Roman" w:cs="Times New Roman"/>
          <w:sz w:val="24"/>
          <w:szCs w:val="24"/>
        </w:rPr>
      </w:pPr>
      <w:r w:rsidRPr="000F34D9">
        <w:rPr>
          <w:rFonts w:ascii="Times New Roman" w:hAnsi="Times New Roman" w:cs="Times New Roman"/>
          <w:sz w:val="24"/>
          <w:szCs w:val="24"/>
        </w:rPr>
        <w:t xml:space="preserve">10. Бєлікова О., Бєлікова Є. Спрощене провадження в господарському </w:t>
      </w:r>
    </w:p>
    <w:p w14:paraId="2F72A9D8" w14:textId="75F83DB3" w:rsidR="000F34D9" w:rsidRPr="000F34D9" w:rsidRDefault="000F34D9" w:rsidP="000F34D9">
      <w:pPr>
        <w:rPr>
          <w:rFonts w:ascii="Times New Roman" w:hAnsi="Times New Roman" w:cs="Times New Roman"/>
          <w:sz w:val="24"/>
          <w:szCs w:val="24"/>
        </w:rPr>
      </w:pPr>
      <w:r w:rsidRPr="000F34D9">
        <w:rPr>
          <w:rFonts w:ascii="Times New Roman" w:hAnsi="Times New Roman" w:cs="Times New Roman"/>
          <w:sz w:val="24"/>
          <w:szCs w:val="24"/>
        </w:rPr>
        <w:t xml:space="preserve">процесі та перспективи прискорення захисту прав. Підприємництво, господарство і право. 2019. № 6. </w:t>
      </w:r>
    </w:p>
    <w:p w14:paraId="387A1758" w14:textId="1EEFF0DE" w:rsidR="000F34D9" w:rsidRPr="000F34D9" w:rsidRDefault="000F34D9" w:rsidP="000F34D9">
      <w:pPr>
        <w:rPr>
          <w:rFonts w:ascii="Times New Roman" w:hAnsi="Times New Roman" w:cs="Times New Roman"/>
          <w:sz w:val="24"/>
          <w:szCs w:val="24"/>
        </w:rPr>
      </w:pPr>
      <w:r w:rsidRPr="000F34D9">
        <w:rPr>
          <w:rFonts w:ascii="Times New Roman" w:hAnsi="Times New Roman" w:cs="Times New Roman"/>
          <w:sz w:val="24"/>
          <w:szCs w:val="24"/>
        </w:rPr>
        <w:t xml:space="preserve">11. Зятіна Д. Докази і доказування в господарському процесі: новітня практика Касаційного господарського суду. Підприємництво, господарство і  право. 2019. </w:t>
      </w:r>
    </w:p>
    <w:p w14:paraId="12F3479E" w14:textId="55174A2F" w:rsidR="000F34D9" w:rsidRPr="000F34D9" w:rsidRDefault="000F34D9" w:rsidP="000F34D9">
      <w:pPr>
        <w:rPr>
          <w:rFonts w:ascii="Times New Roman" w:hAnsi="Times New Roman" w:cs="Times New Roman"/>
          <w:sz w:val="24"/>
          <w:szCs w:val="24"/>
        </w:rPr>
      </w:pPr>
      <w:r w:rsidRPr="000F34D9">
        <w:rPr>
          <w:rFonts w:ascii="Times New Roman" w:hAnsi="Times New Roman" w:cs="Times New Roman"/>
          <w:sz w:val="24"/>
          <w:szCs w:val="24"/>
        </w:rPr>
        <w:t xml:space="preserve">12. Курей М. Поняття та особливості зустрічного забезпечення позову в господарському процесі. Підприємництво, господарство і право. 2019. </w:t>
      </w:r>
    </w:p>
    <w:p w14:paraId="07C102B0" w14:textId="7985D958" w:rsidR="000F34D9" w:rsidRPr="000F34D9" w:rsidRDefault="000F34D9" w:rsidP="000F34D9">
      <w:pPr>
        <w:rPr>
          <w:rFonts w:ascii="Times New Roman" w:hAnsi="Times New Roman" w:cs="Times New Roman"/>
          <w:sz w:val="24"/>
          <w:szCs w:val="24"/>
        </w:rPr>
      </w:pPr>
      <w:r w:rsidRPr="000F34D9">
        <w:rPr>
          <w:rFonts w:ascii="Times New Roman" w:hAnsi="Times New Roman" w:cs="Times New Roman"/>
          <w:sz w:val="24"/>
          <w:szCs w:val="24"/>
        </w:rPr>
        <w:t xml:space="preserve">13. Сарнавський М. Ухвала як обʼєкт апеляційного оскарження в господарському судочинстві. Підприємництво, господарство і право. 2019. №  2. </w:t>
      </w:r>
    </w:p>
    <w:p w14:paraId="55FA128B" w14:textId="7450A6AE" w:rsidR="0089570B" w:rsidRPr="000F34D9" w:rsidRDefault="000F34D9" w:rsidP="000F34D9">
      <w:pPr>
        <w:rPr>
          <w:rFonts w:ascii="Times New Roman" w:hAnsi="Times New Roman" w:cs="Times New Roman"/>
          <w:sz w:val="24"/>
          <w:szCs w:val="24"/>
        </w:rPr>
      </w:pPr>
      <w:r w:rsidRPr="000F34D9">
        <w:rPr>
          <w:rFonts w:ascii="Times New Roman" w:hAnsi="Times New Roman" w:cs="Times New Roman"/>
          <w:sz w:val="24"/>
          <w:szCs w:val="24"/>
        </w:rPr>
        <w:t xml:space="preserve">14. Згама А. Про доступність правосуддя в контексті обмежень права на касаційне оскарження у господарському судочинстві. Підприємництво, господарство і право. 2019. </w:t>
      </w:r>
    </w:p>
    <w:sectPr w:rsidR="0089570B" w:rsidRPr="000F34D9" w:rsidSect="00895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20826"/>
    <w:multiLevelType w:val="hybridMultilevel"/>
    <w:tmpl w:val="A322C9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57998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3CE"/>
    <w:rsid w:val="000F34D9"/>
    <w:rsid w:val="001562B7"/>
    <w:rsid w:val="0039528D"/>
    <w:rsid w:val="0089570B"/>
    <w:rsid w:val="008963AA"/>
    <w:rsid w:val="008B3AC8"/>
    <w:rsid w:val="00A07DF2"/>
    <w:rsid w:val="00BA0545"/>
    <w:rsid w:val="00DB5EBA"/>
    <w:rsid w:val="00E8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31F46"/>
  <w15:docId w15:val="{7C706686-4591-445D-B559-0E5C62C0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3CE"/>
    <w:pPr>
      <w:spacing w:after="200" w:line="276" w:lineRule="auto"/>
      <w:ind w:firstLine="0"/>
      <w:jc w:val="left"/>
    </w:pPr>
    <w:rPr>
      <w:rFonts w:asciiTheme="minorHAnsi" w:hAnsiTheme="minorHAnsi" w:cstheme="minorBid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1816</Characters>
  <Application>Microsoft Office Word</Application>
  <DocSecurity>0</DocSecurity>
  <Lines>40</Lines>
  <Paragraphs>17</Paragraphs>
  <ScaleCrop>false</ScaleCrop>
  <Company>Microsoft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Kyrylo Alimov</cp:lastModifiedBy>
  <cp:revision>4</cp:revision>
  <dcterms:created xsi:type="dcterms:W3CDTF">2020-12-21T08:34:00Z</dcterms:created>
  <dcterms:modified xsi:type="dcterms:W3CDTF">2025-12-01T13:13:00Z</dcterms:modified>
</cp:coreProperties>
</file>