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header2.xml" ContentType="application/vnd.openxmlformats-officedocument.wordprocessingml.header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1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ЗАПОРІЗЬКИЙ НАЦІОНАЛЬНИЙ УНІВЕРСИТЕТ</w:t>
      </w:r>
    </w:p>
    <w:p>
      <w:pPr>
        <w:pStyle w:val="Normal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МАТЕМАТИЧНИЙ ФАКУЛЬТЕТ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ind w:left="4692" w:firstLine="708"/>
        <w:jc w:val="both"/>
        <w:rPr>
          <w:b/>
          <w:b/>
          <w:bCs/>
        </w:rPr>
      </w:pPr>
      <w:r>
        <w:rPr>
          <w:b/>
          <w:bCs/>
        </w:rPr>
        <w:t>ЗАТВЕРДЖУЮ</w:t>
      </w:r>
    </w:p>
    <w:p>
      <w:pPr>
        <w:pStyle w:val="Normal"/>
        <w:ind w:left="5400" w:hanging="0"/>
        <w:rPr/>
      </w:pPr>
      <w:r>
        <w:rPr/>
      </w:r>
    </w:p>
    <w:p>
      <w:pPr>
        <w:pStyle w:val="Normal"/>
        <w:ind w:left="5400" w:hanging="0"/>
        <w:rPr/>
      </w:pPr>
      <w:r>
        <w:rPr/>
        <w:t>Декан математичного факультету ЗНУ</w:t>
      </w:r>
    </w:p>
    <w:p>
      <w:pPr>
        <w:pStyle w:val="Normal"/>
        <w:ind w:left="5400" w:hanging="0"/>
        <w:rPr/>
      </w:pPr>
      <w:r>
        <w:rPr/>
        <w:t>__________        ____</w:t>
      </w:r>
      <w:r>
        <w:rPr>
          <w:u w:val="single"/>
        </w:rPr>
        <w:t>С.І.Гоменюк</w:t>
      </w:r>
      <w:r>
        <w:rPr>
          <w:sz w:val="22"/>
          <w:szCs w:val="22"/>
        </w:rPr>
        <w:t>____</w:t>
      </w:r>
    </w:p>
    <w:p>
      <w:pPr>
        <w:pStyle w:val="Normal"/>
        <w:ind w:left="5400" w:hanging="0"/>
        <w:rPr/>
      </w:pPr>
      <w:r>
        <w:rPr>
          <w:sz w:val="16"/>
          <w:szCs w:val="16"/>
        </w:rPr>
        <w:t xml:space="preserve">            </w:t>
      </w:r>
      <w:r>
        <w:rPr>
          <w:sz w:val="16"/>
          <w:szCs w:val="16"/>
        </w:rPr>
        <w:t xml:space="preserve">(підпис)                        (ініціали та прізвище) </w:t>
      </w:r>
    </w:p>
    <w:p>
      <w:pPr>
        <w:pStyle w:val="Normal"/>
        <w:ind w:left="4692" w:firstLine="708"/>
        <w:jc w:val="both"/>
        <w:rPr/>
      </w:pPr>
      <w:r>
        <w:rPr/>
        <w:t>«______»  _________________  2025р.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СИЛАБУС НАВЧАЛЬНОЇ ДИСЦИПЛІНИ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CASE </w:t>
      </w:r>
      <w:r>
        <w:rPr>
          <w:b/>
          <w:bCs/>
          <w:color w:val="000000"/>
          <w:sz w:val="28"/>
          <w:szCs w:val="28"/>
        </w:rPr>
        <w:t>СИСТЕМИ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/>
      </w:pPr>
      <w:r>
        <w:rPr>
          <w:sz w:val="28"/>
          <w:szCs w:val="28"/>
        </w:rPr>
        <w:t xml:space="preserve">підготовки </w:t>
      </w:r>
      <w:r>
        <w:rPr>
          <w:sz w:val="28"/>
          <w:szCs w:val="28"/>
          <w:u w:val="single"/>
        </w:rPr>
        <w:t xml:space="preserve">                         бакалаврів                                  </w:t>
      </w:r>
      <w:r>
        <w:rPr>
          <w:color w:val="FFFFFF"/>
          <w:sz w:val="28"/>
          <w:szCs w:val="28"/>
          <w:u w:val="single"/>
        </w:rPr>
        <w:t>1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денної та заочної форми здобуття освіти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sz w:val="28"/>
          <w:szCs w:val="28"/>
        </w:rPr>
        <w:t xml:space="preserve">освітньо-професійна програма </w:t>
      </w:r>
      <w:r>
        <w:rPr>
          <w:sz w:val="28"/>
          <w:szCs w:val="28"/>
          <w:u w:val="single"/>
        </w:rPr>
        <w:t xml:space="preserve">      Комп‘ютерні науки           </w:t>
      </w:r>
      <w:r>
        <w:rPr>
          <w:color w:val="FFFFFF"/>
          <w:sz w:val="28"/>
          <w:szCs w:val="28"/>
          <w:u w:val="single"/>
        </w:rPr>
        <w:t>1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sz w:val="28"/>
          <w:szCs w:val="28"/>
        </w:rPr>
        <w:t xml:space="preserve">спеціальності   </w:t>
      </w:r>
      <w:r>
        <w:rPr>
          <w:sz w:val="28"/>
          <w:szCs w:val="28"/>
          <w:u w:val="single"/>
        </w:rPr>
        <w:t xml:space="preserve">       Комп‘ютерні науки                      </w:t>
      </w:r>
      <w:r>
        <w:rPr>
          <w:color w:val="FFFFFF"/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 xml:space="preserve">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sz w:val="28"/>
          <w:szCs w:val="28"/>
        </w:rPr>
        <w:t xml:space="preserve">галузі знань </w:t>
      </w:r>
      <w:r>
        <w:rPr>
          <w:sz w:val="28"/>
          <w:szCs w:val="28"/>
          <w:u w:val="single"/>
        </w:rPr>
        <w:t xml:space="preserve">        Інформаційні технології                 </w:t>
      </w:r>
      <w:r>
        <w:rPr>
          <w:color w:val="FFFFFF"/>
          <w:sz w:val="28"/>
          <w:szCs w:val="28"/>
          <w:u w:val="single"/>
        </w:rPr>
        <w:t>1</w:t>
      </w:r>
    </w:p>
    <w:p>
      <w:pPr>
        <w:pStyle w:val="Normal"/>
        <w:rPr>
          <w:b/>
          <w:b/>
          <w:bCs/>
          <w:smallCaps/>
        </w:rPr>
      </w:pPr>
      <w:r>
        <w:rPr>
          <w:b/>
          <w:bCs/>
          <w:smallCaps/>
        </w:rPr>
      </w:r>
    </w:p>
    <w:p>
      <w:pPr>
        <w:pStyle w:val="Normal"/>
        <w:rPr>
          <w:b/>
          <w:b/>
          <w:bCs/>
          <w:smallCaps/>
        </w:rPr>
      </w:pPr>
      <w:r>
        <w:rPr>
          <w:b/>
          <w:bCs/>
          <w:smallCaps/>
        </w:rPr>
      </w:r>
    </w:p>
    <w:p>
      <w:pPr>
        <w:pStyle w:val="Normal"/>
        <w:rPr/>
      </w:pPr>
      <w:r>
        <w:rPr>
          <w:b/>
          <w:bCs/>
          <w:smallCaps/>
        </w:rPr>
        <w:t>ВИКЛАДАЧ</w:t>
      </w:r>
      <w:r>
        <w:rPr>
          <w:b/>
          <w:bCs/>
        </w:rPr>
        <w:t xml:space="preserve">: Добровольський Геннадій Анатолійович, к.т.н,  </w:t>
      </w:r>
      <w:r>
        <w:rPr>
          <w:b/>
          <w:bCs/>
          <w:sz w:val="22"/>
          <w:szCs w:val="22"/>
        </w:rPr>
        <w:t>доцент кафедри комп’ютерних наук</w:t>
      </w:r>
    </w:p>
    <w:p>
      <w:pPr>
        <w:pStyle w:val="Normal"/>
        <w:jc w:val="center"/>
        <w:rPr/>
      </w:pPr>
      <w:r>
        <w:rPr/>
      </w:r>
    </w:p>
    <w:p>
      <w:pPr>
        <w:pStyle w:val="Normal"/>
        <w:rPr>
          <w:vertAlign w:val="superscript"/>
        </w:rPr>
      </w:pPr>
      <w:r>
        <w:rPr>
          <w:vertAlign w:val="superscript"/>
        </w:rPr>
      </w:r>
    </w:p>
    <w:p>
      <w:pPr>
        <w:pStyle w:val="Normal"/>
        <w:jc w:val="center"/>
        <w:rPr>
          <w:vertAlign w:val="superscript"/>
        </w:rPr>
      </w:pPr>
      <w:r>
        <w:rPr>
          <w:vertAlign w:val="superscript"/>
        </w:rPr>
      </w:r>
    </w:p>
    <w:p>
      <w:pPr>
        <w:pStyle w:val="Normal"/>
        <w:jc w:val="center"/>
        <w:rPr>
          <w:vertAlign w:val="superscript"/>
        </w:rPr>
      </w:pPr>
      <w:r>
        <w:rPr>
          <w:vertAlign w:val="superscript"/>
        </w:rPr>
      </w:r>
    </w:p>
    <w:tbl>
      <w:tblPr>
        <w:tblStyle w:val="af6"/>
        <w:tblW w:w="9853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5111"/>
        <w:gridCol w:w="4741"/>
      </w:tblGrid>
      <w:tr>
        <w:trPr/>
        <w:tc>
          <w:tcPr>
            <w:tcW w:w="5111" w:type="dxa"/>
            <w:tcBorders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>Обговорено та ухвалено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>на засіданні кафедри комп’ютерних наук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>Протокол №_</w:t>
            </w:r>
            <w:r>
              <w:rPr>
                <w:u w:val="single"/>
              </w:rPr>
              <w:t>1</w:t>
            </w:r>
            <w:r>
              <w:rPr/>
              <w:t>_ від  “_</w:t>
            </w:r>
            <w:r>
              <w:rPr>
                <w:u w:val="single"/>
              </w:rPr>
              <w:t>25</w:t>
            </w:r>
            <w:r>
              <w:rPr/>
              <w:t>__”_</w:t>
            </w:r>
            <w:r>
              <w:rPr>
                <w:u w:val="single"/>
              </w:rPr>
              <w:t>серпня</w:t>
            </w:r>
            <w:r>
              <w:rPr/>
              <w:t>__2025 р.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>Завідувач кафедри комп’ютерних наук</w:t>
            </w:r>
          </w:p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>____________________</w:t>
            </w:r>
            <w:r>
              <w:rPr>
                <w:u w:val="single"/>
              </w:rPr>
              <w:t>Г. М. Шило</w:t>
            </w:r>
            <w:r>
              <w:rPr/>
              <w:t>__________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vertAlign w:val="superscript"/>
              </w:rPr>
              <w:t xml:space="preserve">         </w:t>
            </w:r>
            <w:r>
              <w:rPr>
                <w:vertAlign w:val="superscript"/>
              </w:rPr>
              <w:t>(підпис)</w:t>
            </w:r>
            <w:r>
              <w:rPr/>
              <w:t xml:space="preserve">                          </w:t>
            </w:r>
            <w:r>
              <w:rPr>
                <w:vertAlign w:val="superscript"/>
              </w:rPr>
              <w:t>(ініціали, прізвище )</w:t>
            </w:r>
          </w:p>
        </w:tc>
        <w:tc>
          <w:tcPr>
            <w:tcW w:w="4741" w:type="dxa"/>
            <w:tcBorders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 xml:space="preserve">     </w:t>
            </w:r>
            <w:r>
              <w:rPr/>
              <w:t>Погоджено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 xml:space="preserve">     </w:t>
            </w:r>
            <w:r>
              <w:rPr/>
              <w:t>Гарант освітньо-професійної програми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  <w:t>_______</w:t>
            </w:r>
            <w:r>
              <w:rPr>
                <w:u w:val="single"/>
              </w:rPr>
              <w:t xml:space="preserve">                      Н.В. Матвіїшина</w:t>
            </w:r>
            <w:r>
              <w:rPr/>
              <w:t>_____</w:t>
            </w:r>
          </w:p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vertAlign w:val="superscript"/>
              </w:rPr>
              <w:t xml:space="preserve">         </w:t>
            </w:r>
            <w:r>
              <w:rPr>
                <w:vertAlign w:val="superscript"/>
              </w:rPr>
              <w:t>(підпис)</w:t>
            </w:r>
            <w:r>
              <w:rPr/>
              <w:t xml:space="preserve">                          </w:t>
            </w:r>
            <w:r>
              <w:rPr>
                <w:vertAlign w:val="superscript"/>
              </w:rPr>
              <w:t>(ініціали, прізвище )</w:t>
            </w:r>
          </w:p>
        </w:tc>
      </w:tr>
    </w:tbl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2025 рік</w:t>
      </w:r>
      <w:r>
        <w:br w:type="page"/>
      </w:r>
    </w:p>
    <w:p>
      <w:pPr>
        <w:pStyle w:val="Normal"/>
        <w:jc w:val="center"/>
        <w:rPr/>
      </w:pPr>
      <w:r>
        <w:rPr/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Зв`язок з викладачем: </w:t>
      </w:r>
      <w:r>
        <w:rPr>
          <w:sz w:val="28"/>
          <w:szCs w:val="28"/>
        </w:rPr>
        <w:t>Добровольський Геннадій Анатолійович</w:t>
      </w:r>
    </w:p>
    <w:p>
      <w:pPr>
        <w:pStyle w:val="Normal"/>
        <w:rPr>
          <w:lang w:val="en-US"/>
        </w:rPr>
      </w:pPr>
      <w:r>
        <w:rPr>
          <w:b/>
          <w:bCs/>
          <w:sz w:val="28"/>
          <w:szCs w:val="28"/>
          <w:lang w:val="en-US"/>
        </w:rPr>
        <w:t xml:space="preserve">E-mail:  </w:t>
      </w:r>
      <w:r>
        <w:rPr>
          <w:sz w:val="28"/>
          <w:szCs w:val="28"/>
          <w:lang w:val="en-US"/>
        </w:rPr>
        <w:t xml:space="preserve"> </w:t>
      </w:r>
      <w:r>
        <w:rPr>
          <w:color w:val="0000FF"/>
          <w:sz w:val="28"/>
          <w:szCs w:val="28"/>
          <w:lang w:val="en-US"/>
        </w:rPr>
        <w:t>gen.dobr@gmail.com</w:t>
      </w:r>
    </w:p>
    <w:p>
      <w:pPr>
        <w:pStyle w:val="Normal"/>
        <w:rPr/>
      </w:pPr>
      <w:r>
        <w:rPr>
          <w:b/>
          <w:bCs/>
          <w:sz w:val="28"/>
          <w:szCs w:val="28"/>
        </w:rPr>
        <w:t xml:space="preserve">Сезн ЗНУ повідомлення: </w:t>
      </w:r>
      <w:r>
        <w:rPr>
          <w:sz w:val="28"/>
          <w:szCs w:val="28"/>
        </w:rPr>
        <w:t>https://moodle.znu.edu.ua/course/view.php?id=3362</w:t>
      </w:r>
    </w:p>
    <w:p>
      <w:pPr>
        <w:pStyle w:val="Normal"/>
        <w:rPr/>
      </w:pPr>
      <w:r>
        <w:rPr>
          <w:b/>
          <w:bCs/>
          <w:sz w:val="28"/>
          <w:szCs w:val="28"/>
        </w:rPr>
        <w:t>Телефон (кафедра):</w:t>
      </w:r>
      <w:r>
        <w:rPr>
          <w:sz w:val="28"/>
          <w:szCs w:val="28"/>
        </w:rPr>
        <w:t xml:space="preserve"> +38-061-289-12-57</w:t>
      </w:r>
    </w:p>
    <w:p>
      <w:pPr>
        <w:pStyle w:val="Normal"/>
        <w:rPr/>
      </w:pPr>
      <w:r>
        <w:rPr>
          <w:b/>
          <w:bCs/>
          <w:sz w:val="28"/>
          <w:szCs w:val="28"/>
        </w:rPr>
        <w:t xml:space="preserve">Інші засоби зв’язку: </w:t>
      </w:r>
      <w:hyperlink r:id="rId2">
        <w:r>
          <w:rPr>
            <w:color w:val="0000FF"/>
            <w:sz w:val="28"/>
            <w:szCs w:val="28"/>
          </w:rPr>
          <w:t>https://t.me/gen_dobr</w:t>
        </w:r>
      </w:hyperlink>
      <w:r>
        <w:rPr>
          <w:sz w:val="28"/>
          <w:szCs w:val="28"/>
        </w:rPr>
        <w:t xml:space="preserve"> </w:t>
      </w:r>
    </w:p>
    <w:p>
      <w:pPr>
        <w:pStyle w:val="Normal"/>
        <w:rPr/>
      </w:pPr>
      <w:r>
        <w:rPr>
          <w:b/>
          <w:bCs/>
          <w:sz w:val="28"/>
          <w:szCs w:val="28"/>
        </w:rPr>
        <w:t>Кафедра</w:t>
      </w:r>
      <w:r>
        <w:rPr>
          <w:sz w:val="28"/>
          <w:szCs w:val="28"/>
        </w:rPr>
        <w:t xml:space="preserve"> комп’ютерних наук, ауд. №39, 1 корпус ЗНУ</w:t>
      </w:r>
    </w:p>
    <w:p>
      <w:pPr>
        <w:pStyle w:val="Normal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pacing w:before="0" w:after="120"/>
        <w:ind w:left="283" w:hanging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Опис навчальної дисципліни</w:t>
      </w:r>
    </w:p>
    <w:p>
      <w:pPr>
        <w:pStyle w:val="Normal"/>
        <w:spacing w:before="0" w:after="12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Навчальна дисципліна «CASE-системи» спрямована на формування у здобувачів вищої освіти теоретичних знань і практичних навичок використання комп’ютеризованих засобів підтримки життєвого циклу програмного забезпечення. У курсі розглядаються концептуальні засади CASE-технологій, методології аналізу та проєктування інформаційних систем, нотації моделювання, а також практичні аспекти застосування сучасних CASE-інструментів у командній розробці програмних продуктів.</w:t>
      </w:r>
    </w:p>
    <w:p>
      <w:pPr>
        <w:pStyle w:val="Normal"/>
        <w:spacing w:before="0" w:after="12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Метою </w:t>
      </w:r>
      <w:r>
        <w:rPr>
          <w:color w:val="000000"/>
          <w:sz w:val="28"/>
          <w:szCs w:val="28"/>
        </w:rPr>
        <w:t>вивчення дисципліни</w:t>
      </w:r>
      <w:r>
        <w:rPr>
          <w:color w:val="000000"/>
          <w:sz w:val="28"/>
          <w:szCs w:val="28"/>
        </w:rPr>
        <w:t xml:space="preserve"> є формування цілісного уявлення про CASE-системи як інструментальну основу інженерії програмного забезпечення та набуття здатності використовувати їх для аналізу вимог, проєктування, документування й супроводу програмних систем.</w:t>
      </w:r>
    </w:p>
    <w:p>
      <w:pPr>
        <w:pStyle w:val="Normal"/>
        <w:spacing w:before="0" w:after="12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результаті вивчення дисципліни здобувач повинен уміти аналізувати місце CASE-систем у життєвому циклі ПЗ, обирати доцільні CASE-засоби для конкретних проєктів, будувати моделі програмних і інформаційних систем з використанням UML та інших нотацій, а також працювати з репозиторіями моделей і проєктною документацією.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br w:type="page"/>
      </w:r>
    </w:p>
    <w:p>
      <w:pPr>
        <w:pStyle w:val="Normal"/>
        <w:ind w:left="720" w:hanging="0"/>
        <w:jc w:val="both"/>
        <w:rPr/>
      </w:pPr>
      <w:r>
        <w:rPr/>
      </w:r>
    </w:p>
    <w:p>
      <w:pPr>
        <w:pStyle w:val="Normal"/>
        <w:spacing w:before="0" w:after="120"/>
        <w:ind w:left="283" w:hanging="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Паспорт навчальної дисципліни</w:t>
      </w:r>
    </w:p>
    <w:tbl>
      <w:tblPr>
        <w:tblStyle w:val="af7"/>
        <w:tblW w:w="9781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4227"/>
        <w:gridCol w:w="2970"/>
        <w:gridCol w:w="2584"/>
      </w:tblGrid>
      <w:tr>
        <w:trPr>
          <w:trHeight w:val="883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Нормативні показники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денна форма здобуття освіти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заочна форма здобуття освіти</w:t>
            </w:r>
          </w:p>
        </w:tc>
      </w:tr>
      <w:tr>
        <w:trPr>
          <w:trHeight w:val="365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 w:before="60"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Статус дисципліни</w:t>
            </w:r>
          </w:p>
        </w:tc>
        <w:tc>
          <w:tcPr>
            <w:tcW w:w="5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Вибіркова</w:t>
            </w:r>
          </w:p>
        </w:tc>
      </w:tr>
      <w:tr>
        <w:trPr>
          <w:trHeight w:val="243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 w:before="60"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Семестр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>-й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>-й</w:t>
            </w:r>
          </w:p>
        </w:tc>
      </w:tr>
      <w:tr>
        <w:trPr>
          <w:trHeight w:val="511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 w:before="60"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Кількість кредитів ECTS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>
        <w:trPr>
          <w:trHeight w:val="364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 w:before="60"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Кількість годин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>0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>0</w:t>
            </w:r>
          </w:p>
        </w:tc>
      </w:tr>
      <w:tr>
        <w:trPr>
          <w:trHeight w:val="272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Лекційні заняття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  <w:t>2</w:t>
            </w:r>
            <w:r>
              <w:rPr/>
              <w:t>2</w:t>
            </w:r>
            <w:r>
              <w:rPr/>
              <w:t xml:space="preserve"> год.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  <w:t>4 год.</w:t>
            </w:r>
          </w:p>
        </w:tc>
      </w:tr>
      <w:tr>
        <w:trPr>
          <w:trHeight w:val="679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Лабораторні заняття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  <w:t>2</w:t>
            </w:r>
            <w:r>
              <w:rPr/>
              <w:t>2 год.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  <w:t>4 год.</w:t>
            </w:r>
          </w:p>
        </w:tc>
      </w:tr>
      <w:tr>
        <w:trPr>
          <w:trHeight w:val="317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Самостійна робота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  <w:t>46</w:t>
            </w:r>
            <w:r>
              <w:rPr/>
              <w:t xml:space="preserve"> год.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/>
              <w:t>8</w:t>
            </w:r>
            <w:r>
              <w:rPr/>
              <w:t>2 год.</w:t>
            </w:r>
          </w:p>
        </w:tc>
      </w:tr>
      <w:tr>
        <w:trPr>
          <w:trHeight w:val="606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Консультації</w:t>
            </w:r>
          </w:p>
        </w:tc>
        <w:tc>
          <w:tcPr>
            <w:tcW w:w="5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sz w:val="26"/>
                <w:szCs w:val="26"/>
              </w:rPr>
              <w:t>Згідно розкладу: дистанційно: Google Meet: https://meet.google.com/mwp-gbkw-xhk</w:t>
            </w:r>
          </w:p>
        </w:tc>
      </w:tr>
      <w:tr>
        <w:trPr>
          <w:trHeight w:val="485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Вид підсумкового семестрового контролю:</w:t>
            </w:r>
          </w:p>
        </w:tc>
        <w:tc>
          <w:tcPr>
            <w:tcW w:w="5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залік</w:t>
            </w:r>
          </w:p>
        </w:tc>
      </w:tr>
      <w:tr>
        <w:trPr>
          <w:trHeight w:val="888" w:hRule="atLeast"/>
        </w:trPr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Посилання на електронний курс у СЕЗН ЗНУ (платформа Moodle)</w:t>
            </w:r>
          </w:p>
        </w:tc>
        <w:tc>
          <w:tcPr>
            <w:tcW w:w="5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https://moodle.znu.edu.ua/course/view.php?id=3361</w:t>
            </w:r>
          </w:p>
        </w:tc>
      </w:tr>
    </w:tbl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b/>
          <w:bCs/>
          <w:sz w:val="28"/>
          <w:szCs w:val="28"/>
        </w:rPr>
        <w:t xml:space="preserve">2. Методи досягнення запланованих освітньою програмою компетентностей і результатів навчання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Style w:val="af8"/>
        <w:tblW w:w="9781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4305"/>
        <w:gridCol w:w="3015"/>
        <w:gridCol w:w="2461"/>
      </w:tblGrid>
      <w:tr>
        <w:trPr/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firstLine="295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Компетентності/</w:t>
            </w:r>
          </w:p>
          <w:p>
            <w:pPr>
              <w:pStyle w:val="Normal"/>
              <w:widowControl w:val="false"/>
              <w:ind w:firstLine="295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результати навчання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firstLine="295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Методи навчання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Форми і методи оцінювання</w:t>
            </w:r>
          </w:p>
        </w:tc>
      </w:tr>
      <w:tr>
        <w:trPr/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95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Компетентності</w:t>
            </w:r>
          </w:p>
        </w:tc>
      </w:tr>
      <w:tr>
        <w:trPr>
          <w:trHeight w:val="400" w:hRule="atLeast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СК4 Здатність використовувати сучасні методи математичного моделювання об’єктів, процесів і явищ, розробляти моделі й алгоритми чисельного розв’язування  задач математичного моделювання, враховувати похибки наближеного чисельного розв’язування професійних задач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  <w:t>СК5 Здатність здійснювати формалізований опис задач дослідження операцій в організаційно-технічних і соціально-економічних системах різного призначення, визначати їх оптимальні розв’язки, будувати моделі оптимального управління з урахуванням змін економічної ситуації, оптимізувати процеси управління в системах різного призначення та рівня ієрархії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  <w:t>СК10 Здатність застосовувати методології, технології та інструментальні засоби для управління процесами життєвого циклу інформаційних і програмних систем, продуктів і сервісів інформаційних технологій відповідно до вимог замовника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  <w:t>СК15 Здатність до аналізу та функціонального моделювання бізнес-процесів, побудови та практичного застосування функціональних моделей організаційно-економічних і виробничо-технічних систем, методів оцінювання ризиків їх проектування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лекція-візуалізація, пояснення, демонстрування, дискусія, аналіз, виконання завдань практичних робіт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  <w:bCs/>
              </w:rPr>
              <w:t>Поточний контроль:</w:t>
            </w:r>
            <w:r>
              <w:rPr/>
              <w:t xml:space="preserve"> захист лабораторних та самостійних робіт, опитування, тестування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  <w:bCs/>
              </w:rPr>
              <w:t>Підсумковий контроль:</w:t>
            </w:r>
            <w:r>
              <w:rPr/>
              <w:t xml:space="preserve"> тестування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</w:tr>
    </w:tbl>
    <w:tbl>
      <w:tblPr>
        <w:tblStyle w:val="af9"/>
        <w:tblW w:w="9781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4305"/>
        <w:gridCol w:w="3015"/>
        <w:gridCol w:w="2461"/>
      </w:tblGrid>
      <w:tr>
        <w:trPr>
          <w:trHeight w:val="384" w:hRule="atLeast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295"/>
              <w:jc w:val="center"/>
              <w:rPr>
                <w:b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Результати навчання</w:t>
            </w:r>
          </w:p>
        </w:tc>
      </w:tr>
      <w:tr>
        <w:trPr>
          <w:trHeight w:val="4994" w:hRule="atLeast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ПР10 Використовувати інструментальні засоби розробки клієнт-серверних застосувань, проектувати концептуальні, логічні та фізичні моделі баз даних, розробляти та оптимізувати запити до них, створювати розподілені бази даних, сховища та вітрини даних, бази знань, у тому числі на хмарних сервісах, із застосуванням мов веб-програмування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color w:val="000000"/>
              </w:rPr>
              <w:t>ПР11 Володіти навичками управління життєвим циклом програмного забезпечення, продуктів і сервісів інформаційних технологій відповідно до вимог і обмежень замовника, вміти розробляти проектну документацію (техніко-економічне обґрунтування, технічне завдання, бізнес-план, угоду, договір, контракт)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color w:val="000000"/>
              </w:rPr>
              <w:t>ПР14 Застосовувати знання методології та CASE-засобів проектування складних систем, методів структурного аналізу систем, об'єктно-орієнтованої методології проектування при розробці і дослідженні функціональних моделей організаційно-економічних і виробничо-технічних систем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лекція-візуалізація, пояснення, дискусія, аналіз, виконання завдань практичних робіт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  <w:bCs/>
              </w:rPr>
              <w:t>Поточний контроль:</w:t>
            </w:r>
            <w:r>
              <w:rPr/>
              <w:t xml:space="preserve"> захист лабораторних та самостійних робіт, опитування, тестування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  <w:bCs/>
              </w:rPr>
              <w:t>Підсумковий контроль:</w:t>
            </w:r>
            <w:r>
              <w:rPr/>
              <w:t xml:space="preserve"> тестування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ind w:left="360" w:hanging="360"/>
        <w:jc w:val="center"/>
        <w:rPr>
          <w:b/>
          <w:b/>
          <w:bCs/>
          <w:i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3. Зміст навчальної дисципліни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1. Теоретичні основи CASE-систем 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ab/>
        <w:t>Тема 1.  Вступ до дисципліни. Загальні поняття CASE-технологій.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>М</w:t>
      </w:r>
      <w:r>
        <w:rPr>
          <w:color w:val="000000"/>
          <w:sz w:val="26"/>
          <w:szCs w:val="26"/>
        </w:rPr>
        <w:t xml:space="preserve">ета та завдання курсу. </w:t>
      </w:r>
      <w:r>
        <w:rPr>
          <w:color w:val="000000"/>
          <w:sz w:val="26"/>
          <w:szCs w:val="26"/>
        </w:rPr>
        <w:t>П</w:t>
      </w:r>
      <w:r>
        <w:rPr>
          <w:color w:val="000000"/>
          <w:sz w:val="26"/>
          <w:szCs w:val="26"/>
        </w:rPr>
        <w:t xml:space="preserve">ередумови виникнення CASE-систем, проблеми традиційної розробки програмного забезпечення та роль автоматизації у підвищенні якості програмних продуктів. </w:t>
      </w:r>
      <w:r>
        <w:rPr>
          <w:color w:val="000000"/>
          <w:sz w:val="26"/>
          <w:szCs w:val="26"/>
        </w:rPr>
        <w:t>Ж</w:t>
      </w:r>
      <w:r>
        <w:rPr>
          <w:color w:val="000000"/>
          <w:sz w:val="26"/>
          <w:szCs w:val="26"/>
        </w:rPr>
        <w:t>иттєвий цикл програмного забезпечення.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ab/>
        <w:t xml:space="preserve">Тема </w:t>
      </w:r>
      <w:r>
        <w:rPr>
          <w:i/>
          <w:iCs/>
          <w:color w:val="000000"/>
          <w:sz w:val="26"/>
          <w:szCs w:val="26"/>
        </w:rPr>
        <w:t>2</w:t>
      </w:r>
      <w:r>
        <w:rPr>
          <w:i/>
          <w:iCs/>
          <w:color w:val="000000"/>
          <w:sz w:val="26"/>
          <w:szCs w:val="26"/>
        </w:rPr>
        <w:t>.  Класифікація та архітектура CASE-систем.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>П</w:t>
      </w:r>
      <w:r>
        <w:rPr>
          <w:color w:val="000000"/>
          <w:sz w:val="26"/>
          <w:szCs w:val="26"/>
        </w:rPr>
        <w:t xml:space="preserve">ідходи до класифікації CASE-систем, Upper CASE, Lower CASE, Integrated CASE. </w:t>
      </w:r>
      <w:r>
        <w:rPr>
          <w:color w:val="000000"/>
          <w:sz w:val="26"/>
          <w:szCs w:val="26"/>
        </w:rPr>
        <w:t>Т</w:t>
      </w:r>
      <w:r>
        <w:rPr>
          <w:color w:val="000000"/>
          <w:sz w:val="26"/>
          <w:szCs w:val="26"/>
        </w:rPr>
        <w:t>ипова архітектура CASE-середовищ: репозиторі</w:t>
      </w:r>
      <w:r>
        <w:rPr>
          <w:color w:val="000000"/>
          <w:sz w:val="26"/>
          <w:szCs w:val="26"/>
        </w:rPr>
        <w:t>й</w:t>
      </w:r>
      <w:r>
        <w:rPr>
          <w:color w:val="000000"/>
          <w:sz w:val="26"/>
          <w:szCs w:val="26"/>
        </w:rPr>
        <w:t>, інструмент</w:t>
      </w:r>
      <w:r>
        <w:rPr>
          <w:color w:val="000000"/>
          <w:sz w:val="26"/>
          <w:szCs w:val="26"/>
        </w:rPr>
        <w:t>и</w:t>
      </w:r>
      <w:r>
        <w:rPr>
          <w:color w:val="000000"/>
          <w:sz w:val="26"/>
          <w:szCs w:val="26"/>
        </w:rPr>
        <w:t xml:space="preserve"> моделювання, засоб</w:t>
      </w:r>
      <w:r>
        <w:rPr>
          <w:color w:val="000000"/>
          <w:sz w:val="26"/>
          <w:szCs w:val="26"/>
        </w:rPr>
        <w:t>и</w:t>
      </w:r>
      <w:r>
        <w:rPr>
          <w:color w:val="000000"/>
          <w:sz w:val="26"/>
          <w:szCs w:val="26"/>
        </w:rPr>
        <w:t xml:space="preserve"> підтримки командної роботи. </w:t>
      </w:r>
      <w:r>
        <w:rPr>
          <w:color w:val="000000"/>
          <w:sz w:val="26"/>
          <w:szCs w:val="26"/>
        </w:rPr>
        <w:t>А</w:t>
      </w:r>
      <w:r>
        <w:rPr>
          <w:color w:val="000000"/>
          <w:sz w:val="26"/>
          <w:szCs w:val="26"/>
        </w:rPr>
        <w:t>наліз переваг і обмежень CASE-технологій.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color w:val="000000"/>
          <w:sz w:val="26"/>
          <w:szCs w:val="26"/>
        </w:rPr>
      </w:pPr>
      <w:r>
        <w:rPr/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lang w:val="en-US"/>
        </w:rPr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2. </w:t>
      </w:r>
      <w:r>
        <w:rPr>
          <w:color w:val="000000"/>
          <w:sz w:val="26"/>
          <w:szCs w:val="26"/>
          <w:lang w:val="en-US"/>
        </w:rPr>
        <w:t>Моделювання та нотації в CASE-системах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  <w:lang w:val="en-US"/>
        </w:rPr>
      </w:pPr>
      <w:r>
        <w:rPr>
          <w:i/>
          <w:iCs/>
          <w:color w:val="000000"/>
          <w:sz w:val="26"/>
          <w:szCs w:val="26"/>
        </w:rPr>
        <w:tab/>
        <w:t>Тема</w:t>
      </w:r>
      <w:r>
        <w:rPr>
          <w:i/>
          <w:iCs/>
          <w:color w:val="000000"/>
          <w:sz w:val="26"/>
          <w:szCs w:val="26"/>
          <w:lang w:val="en-US"/>
        </w:rPr>
        <w:t xml:space="preserve"> </w:t>
      </w:r>
      <w:r>
        <w:rPr>
          <w:i/>
          <w:iCs/>
          <w:color w:val="000000"/>
          <w:sz w:val="26"/>
          <w:szCs w:val="26"/>
          <w:lang w:val="en-US"/>
        </w:rPr>
        <w:t>3</w:t>
      </w:r>
      <w:r>
        <w:rPr>
          <w:i/>
          <w:iCs/>
          <w:color w:val="000000"/>
          <w:sz w:val="26"/>
          <w:szCs w:val="26"/>
          <w:lang w:val="en-US"/>
        </w:rPr>
        <w:t>.  Методології аналізу та проєктування інформаційних систем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color w:val="000000"/>
          <w:sz w:val="26"/>
          <w:szCs w:val="26"/>
        </w:rPr>
        <w:tab/>
        <w:t>С</w:t>
      </w:r>
      <w:r>
        <w:rPr>
          <w:color w:val="000000"/>
          <w:sz w:val="26"/>
          <w:szCs w:val="26"/>
        </w:rPr>
        <w:t xml:space="preserve">труктурні та об’єктно-орієнтовані методології розробки. </w:t>
      </w:r>
      <w:r>
        <w:rPr>
          <w:color w:val="000000"/>
          <w:sz w:val="26"/>
          <w:szCs w:val="26"/>
        </w:rPr>
        <w:t>Р</w:t>
      </w:r>
      <w:r>
        <w:rPr>
          <w:color w:val="000000"/>
          <w:sz w:val="26"/>
          <w:szCs w:val="26"/>
        </w:rPr>
        <w:t xml:space="preserve">оль моделей у процесі аналізу вимог і проєктування. </w:t>
      </w:r>
      <w:r>
        <w:rPr>
          <w:color w:val="000000"/>
          <w:sz w:val="26"/>
          <w:szCs w:val="26"/>
        </w:rPr>
        <w:t>Н</w:t>
      </w:r>
      <w:r>
        <w:rPr>
          <w:color w:val="000000"/>
          <w:sz w:val="26"/>
          <w:szCs w:val="26"/>
        </w:rPr>
        <w:t>отаці</w:t>
      </w:r>
      <w:r>
        <w:rPr>
          <w:color w:val="000000"/>
          <w:sz w:val="26"/>
          <w:szCs w:val="26"/>
        </w:rPr>
        <w:t>ї</w:t>
      </w:r>
      <w:r>
        <w:rPr>
          <w:color w:val="000000"/>
          <w:sz w:val="26"/>
          <w:szCs w:val="26"/>
        </w:rPr>
        <w:t xml:space="preserve"> моделювання в CASE-системах.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  <w:lang w:val="en-US"/>
        </w:rPr>
      </w:pPr>
      <w:r>
        <w:rPr>
          <w:i/>
          <w:iCs/>
          <w:color w:val="000000"/>
          <w:sz w:val="26"/>
          <w:szCs w:val="26"/>
        </w:rPr>
        <w:tab/>
        <w:t>Тема</w:t>
      </w:r>
      <w:r>
        <w:rPr>
          <w:i/>
          <w:iCs/>
          <w:color w:val="000000"/>
          <w:sz w:val="26"/>
          <w:szCs w:val="26"/>
          <w:lang w:val="en-US"/>
        </w:rPr>
        <w:t xml:space="preserve"> </w:t>
      </w:r>
      <w:r>
        <w:rPr>
          <w:i/>
          <w:iCs/>
          <w:color w:val="000000"/>
          <w:sz w:val="26"/>
          <w:szCs w:val="26"/>
          <w:lang w:val="en-US"/>
        </w:rPr>
        <w:t>4</w:t>
      </w:r>
      <w:r>
        <w:rPr>
          <w:i/>
          <w:iCs/>
          <w:color w:val="000000"/>
          <w:sz w:val="26"/>
          <w:szCs w:val="26"/>
          <w:lang w:val="en-US"/>
        </w:rPr>
        <w:t>.  UML як базова нотація CASE-моделювання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color w:val="000000"/>
          <w:sz w:val="26"/>
          <w:szCs w:val="26"/>
        </w:rPr>
        <w:tab/>
        <w:t>У</w:t>
      </w:r>
      <w:r>
        <w:rPr>
          <w:color w:val="000000"/>
          <w:sz w:val="26"/>
          <w:szCs w:val="26"/>
        </w:rPr>
        <w:t xml:space="preserve">ніфікована мова моделювання UML. </w:t>
      </w:r>
      <w:r>
        <w:rPr>
          <w:color w:val="000000"/>
          <w:sz w:val="26"/>
          <w:szCs w:val="26"/>
        </w:rPr>
        <w:t>Д</w:t>
      </w:r>
      <w:r>
        <w:rPr>
          <w:color w:val="000000"/>
          <w:sz w:val="26"/>
          <w:szCs w:val="26"/>
        </w:rPr>
        <w:t xml:space="preserve">іаграми варіантів використання, діаграми класів, їх семантика та правила побудови в CASE-інструментах. </w:t>
      </w:r>
      <w:r>
        <w:rPr>
          <w:color w:val="000000"/>
          <w:sz w:val="26"/>
          <w:szCs w:val="26"/>
        </w:rPr>
        <w:t>З</w:t>
      </w:r>
      <w:r>
        <w:rPr>
          <w:color w:val="000000"/>
          <w:sz w:val="26"/>
          <w:szCs w:val="26"/>
        </w:rPr>
        <w:t>в’яз</w:t>
      </w:r>
      <w:r>
        <w:rPr>
          <w:color w:val="000000"/>
          <w:sz w:val="26"/>
          <w:szCs w:val="26"/>
        </w:rPr>
        <w:t>ок</w:t>
      </w:r>
      <w:r>
        <w:rPr>
          <w:color w:val="000000"/>
          <w:sz w:val="26"/>
          <w:szCs w:val="26"/>
        </w:rPr>
        <w:t xml:space="preserve"> між вимогами та структурою програмної системи.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  <w:lang w:val="en-US"/>
        </w:rPr>
      </w:pPr>
      <w:r>
        <w:rPr>
          <w:i/>
          <w:iCs/>
          <w:color w:val="000000"/>
          <w:sz w:val="26"/>
          <w:szCs w:val="26"/>
        </w:rPr>
        <w:tab/>
        <w:t>Тема</w:t>
      </w:r>
      <w:r>
        <w:rPr>
          <w:i/>
          <w:iCs/>
          <w:color w:val="000000"/>
          <w:sz w:val="26"/>
          <w:szCs w:val="26"/>
          <w:lang w:val="en-US"/>
        </w:rPr>
        <w:t xml:space="preserve"> </w:t>
      </w:r>
      <w:r>
        <w:rPr>
          <w:i/>
          <w:iCs/>
          <w:color w:val="000000"/>
          <w:sz w:val="26"/>
          <w:szCs w:val="26"/>
          <w:lang w:val="en-US"/>
        </w:rPr>
        <w:t>5</w:t>
      </w:r>
      <w:r>
        <w:rPr>
          <w:i/>
          <w:iCs/>
          <w:color w:val="000000"/>
          <w:sz w:val="26"/>
          <w:szCs w:val="26"/>
          <w:lang w:val="en-US"/>
        </w:rPr>
        <w:t xml:space="preserve">  Поведінкові та архітектурні діаграми UML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color w:val="000000"/>
          <w:sz w:val="26"/>
          <w:szCs w:val="26"/>
        </w:rPr>
        <w:tab/>
        <w:t>Д</w:t>
      </w:r>
      <w:r>
        <w:rPr>
          <w:color w:val="000000"/>
          <w:sz w:val="26"/>
          <w:szCs w:val="26"/>
        </w:rPr>
        <w:t xml:space="preserve">іаграми послідовностей, станів, діяльності та компонентів, </w:t>
      </w:r>
      <w:r>
        <w:rPr>
          <w:color w:val="000000"/>
          <w:sz w:val="26"/>
          <w:szCs w:val="26"/>
        </w:rPr>
        <w:t>ї</w:t>
      </w:r>
      <w:r>
        <w:rPr>
          <w:color w:val="000000"/>
          <w:sz w:val="26"/>
          <w:szCs w:val="26"/>
        </w:rPr>
        <w:t>х застосування для опису динаміки системи та її архітектурних рішень.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/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3. CASE-інструменти та середовища розробки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ab/>
        <w:t xml:space="preserve">Тема </w:t>
      </w:r>
      <w:r>
        <w:rPr>
          <w:i/>
          <w:iCs/>
          <w:color w:val="000000"/>
          <w:sz w:val="26"/>
          <w:szCs w:val="26"/>
        </w:rPr>
        <w:t>6</w:t>
      </w:r>
      <w:r>
        <w:rPr>
          <w:i/>
          <w:iCs/>
          <w:color w:val="000000"/>
          <w:sz w:val="26"/>
          <w:szCs w:val="26"/>
        </w:rPr>
        <w:t xml:space="preserve">. Огляд сучасних CASE-інструментів 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>С</w:t>
      </w:r>
      <w:r>
        <w:rPr>
          <w:color w:val="000000"/>
          <w:sz w:val="26"/>
          <w:szCs w:val="26"/>
        </w:rPr>
        <w:t xml:space="preserve">учасні програмні засоби CASE, їх функціональні можливості та сфери застосування. </w:t>
      </w:r>
      <w:r>
        <w:rPr>
          <w:color w:val="000000"/>
          <w:sz w:val="26"/>
          <w:szCs w:val="26"/>
        </w:rPr>
        <w:t>К</w:t>
      </w:r>
      <w:r>
        <w:rPr>
          <w:color w:val="000000"/>
          <w:sz w:val="26"/>
          <w:szCs w:val="26"/>
        </w:rPr>
        <w:t>ритерії вибору CASE-інструменту.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ab/>
        <w:t xml:space="preserve">Тема </w:t>
      </w:r>
      <w:r>
        <w:rPr>
          <w:i/>
          <w:iCs/>
          <w:color w:val="000000"/>
          <w:sz w:val="26"/>
          <w:szCs w:val="26"/>
        </w:rPr>
        <w:t>7</w:t>
      </w:r>
      <w:r>
        <w:rPr>
          <w:i/>
          <w:iCs/>
          <w:color w:val="000000"/>
          <w:sz w:val="26"/>
          <w:szCs w:val="26"/>
        </w:rPr>
        <w:t xml:space="preserve">. Репозиторії моделей та колективна робота 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>П</w:t>
      </w:r>
      <w:r>
        <w:rPr>
          <w:color w:val="000000"/>
          <w:sz w:val="26"/>
          <w:szCs w:val="26"/>
        </w:rPr>
        <w:t xml:space="preserve">ринципи зберігання та керування моделями в CASE-системах. </w:t>
      </w:r>
      <w:r>
        <w:rPr>
          <w:color w:val="000000"/>
          <w:sz w:val="26"/>
          <w:szCs w:val="26"/>
        </w:rPr>
        <w:t>М</w:t>
      </w:r>
      <w:r>
        <w:rPr>
          <w:color w:val="000000"/>
          <w:sz w:val="26"/>
          <w:szCs w:val="26"/>
        </w:rPr>
        <w:t xml:space="preserve">еханізми версіонування, трасування вимог та підтримки колективної роботи розробників. </w:t>
      </w:r>
      <w:r>
        <w:rPr>
          <w:color w:val="000000"/>
          <w:sz w:val="26"/>
          <w:szCs w:val="26"/>
        </w:rPr>
        <w:t>І</w:t>
      </w:r>
      <w:r>
        <w:rPr>
          <w:color w:val="000000"/>
          <w:sz w:val="26"/>
          <w:szCs w:val="26"/>
        </w:rPr>
        <w:t>нтеграція CASE-засобів із системами керування версіями та середовищами розробки.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ab/>
        <w:t xml:space="preserve">Тема </w:t>
      </w:r>
      <w:r>
        <w:rPr>
          <w:i/>
          <w:iCs/>
          <w:color w:val="000000"/>
          <w:sz w:val="26"/>
          <w:szCs w:val="26"/>
        </w:rPr>
        <w:t>8</w:t>
      </w:r>
      <w:r>
        <w:rPr>
          <w:i/>
          <w:iCs/>
          <w:color w:val="000000"/>
          <w:sz w:val="26"/>
          <w:szCs w:val="26"/>
        </w:rPr>
        <w:t xml:space="preserve">. Автоматизація проєктної документації та генерація коду 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>М</w:t>
      </w:r>
      <w:r>
        <w:rPr>
          <w:color w:val="000000"/>
          <w:sz w:val="26"/>
          <w:szCs w:val="26"/>
        </w:rPr>
        <w:t xml:space="preserve">ожливості автоматизованої генерації документації та програмного коду на основі моделей. </w:t>
      </w:r>
      <w:r>
        <w:rPr>
          <w:color w:val="000000"/>
          <w:sz w:val="26"/>
          <w:szCs w:val="26"/>
        </w:rPr>
        <w:t>Р</w:t>
      </w:r>
      <w:r>
        <w:rPr>
          <w:color w:val="000000"/>
          <w:sz w:val="26"/>
          <w:szCs w:val="26"/>
        </w:rPr>
        <w:t>оль CASE-систем у забезпеченні узгодженості між моделями та реалізацією програмного забезпечення.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/>
      </w:pPr>
      <w:r>
        <w:rPr>
          <w:b/>
          <w:bCs/>
          <w:color w:val="000000"/>
          <w:sz w:val="26"/>
          <w:szCs w:val="26"/>
        </w:rPr>
        <w:t>Змістовий модуль</w:t>
      </w:r>
      <w:r>
        <w:rPr>
          <w:color w:val="000000"/>
          <w:sz w:val="26"/>
          <w:szCs w:val="26"/>
        </w:rPr>
        <w:t xml:space="preserve"> 4. Практичне застосування CASE-систем у проєктах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ab/>
        <w:t xml:space="preserve">Тема </w:t>
      </w:r>
      <w:r>
        <w:rPr>
          <w:i/>
          <w:iCs/>
          <w:color w:val="000000"/>
          <w:sz w:val="26"/>
          <w:szCs w:val="26"/>
        </w:rPr>
        <w:t>9</w:t>
      </w:r>
      <w:r>
        <w:rPr>
          <w:i/>
          <w:iCs/>
          <w:color w:val="000000"/>
          <w:sz w:val="26"/>
          <w:szCs w:val="26"/>
        </w:rPr>
        <w:t>. CASE-системи у супроводі та реінжинірингу ПЗ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 xml:space="preserve">Використання CASE-інструментів на етапах супроводу програмних систем. </w:t>
      </w:r>
      <w:r>
        <w:rPr>
          <w:color w:val="000000"/>
          <w:sz w:val="26"/>
          <w:szCs w:val="26"/>
        </w:rPr>
        <w:t>П</w:t>
      </w:r>
      <w:r>
        <w:rPr>
          <w:color w:val="000000"/>
          <w:sz w:val="26"/>
          <w:szCs w:val="26"/>
        </w:rPr>
        <w:t>ідходи до аналізу наявного коду та модернізації застарілих інформаційних систем.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ab/>
        <w:t xml:space="preserve">Тема </w:t>
      </w:r>
      <w:r>
        <w:rPr>
          <w:i/>
          <w:iCs/>
          <w:color w:val="000000"/>
          <w:sz w:val="26"/>
          <w:szCs w:val="26"/>
        </w:rPr>
        <w:t>10</w:t>
      </w:r>
      <w:r>
        <w:rPr>
          <w:i/>
          <w:iCs/>
          <w:color w:val="000000"/>
          <w:sz w:val="26"/>
          <w:szCs w:val="26"/>
        </w:rPr>
        <w:t xml:space="preserve">. </w:t>
      </w:r>
      <w:r>
        <w:rPr>
          <w:i/>
          <w:iCs/>
          <w:color w:val="000000"/>
          <w:sz w:val="26"/>
          <w:szCs w:val="26"/>
        </w:rPr>
        <w:t>Приклад</w:t>
      </w:r>
      <w:r>
        <w:rPr>
          <w:i/>
          <w:iCs/>
          <w:color w:val="000000"/>
          <w:sz w:val="26"/>
          <w:szCs w:val="26"/>
        </w:rPr>
        <w:t xml:space="preserve"> використання CASE-систем у  проєкті 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>Приклад типового</w:t>
      </w:r>
      <w:r>
        <w:rPr>
          <w:color w:val="000000"/>
          <w:sz w:val="26"/>
          <w:szCs w:val="26"/>
        </w:rPr>
        <w:t xml:space="preserve"> повний цикл роботи з CASE-системою: від аналізу вимог і моделювання до документування проєкту.</w:t>
      </w:r>
    </w:p>
    <w:p>
      <w:pPr>
        <w:pStyle w:val="Normal"/>
        <w:shd w:val="clear" w:color="auto" w:fill="FFFFFF"/>
        <w:tabs>
          <w:tab w:val="clear" w:pos="720"/>
          <w:tab w:val="left" w:pos="284" w:leader="none"/>
          <w:tab w:val="left" w:pos="567" w:leader="none"/>
        </w:tabs>
        <w:ind w:left="34" w:right="14" w:hanging="0"/>
        <w:jc w:val="both"/>
        <w:rPr>
          <w:i/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ab/>
        <w:t xml:space="preserve">Тема </w:t>
      </w:r>
      <w:r>
        <w:rPr>
          <w:i/>
          <w:iCs/>
          <w:color w:val="000000"/>
          <w:sz w:val="26"/>
          <w:szCs w:val="26"/>
        </w:rPr>
        <w:t>11</w:t>
      </w:r>
      <w:r>
        <w:rPr>
          <w:i/>
          <w:iCs/>
          <w:color w:val="000000"/>
          <w:sz w:val="26"/>
          <w:szCs w:val="26"/>
        </w:rPr>
        <w:t xml:space="preserve">. Узагальнення та підсумковий контроль 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</w:t>
      </w:r>
      <w:r>
        <w:rPr>
          <w:color w:val="000000"/>
          <w:sz w:val="26"/>
          <w:szCs w:val="26"/>
        </w:rPr>
        <w:t xml:space="preserve">загальнення матеріалу курсу, аналіз типових помилок. </w:t>
      </w:r>
      <w:r>
        <w:rPr>
          <w:color w:val="000000"/>
          <w:sz w:val="26"/>
          <w:szCs w:val="26"/>
        </w:rPr>
        <w:t>П</w:t>
      </w:r>
      <w:r>
        <w:rPr>
          <w:color w:val="000000"/>
          <w:sz w:val="26"/>
          <w:szCs w:val="26"/>
        </w:rPr>
        <w:t>рактичн</w:t>
      </w:r>
      <w:r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значення CASE-технологій.</w:t>
      </w:r>
      <w:r>
        <w:br w:type="page"/>
      </w:r>
    </w:p>
    <w:p>
      <w:pPr>
        <w:pStyle w:val="Normal"/>
        <w:spacing w:lineRule="auto" w:line="276" w:before="0" w:after="140"/>
        <w:jc w:val="center"/>
        <w:rPr>
          <w:b/>
          <w:b/>
          <w:bCs/>
          <w:color w:val="000000"/>
        </w:rPr>
      </w:pPr>
      <w:r>
        <w:rPr>
          <w:b/>
          <w:bCs/>
          <w:color w:val="000000"/>
        </w:rPr>
        <w:t xml:space="preserve">4. Структура навчальної дисципліни </w:t>
      </w:r>
    </w:p>
    <w:p>
      <w:pPr>
        <w:pStyle w:val="Normal"/>
        <w:spacing w:lineRule="auto" w:line="276" w:before="0" w:after="140"/>
        <w:jc w:val="center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tbl>
      <w:tblPr>
        <w:tblStyle w:val="afa"/>
        <w:tblW w:w="9599" w:type="dxa"/>
        <w:jc w:val="left"/>
        <w:tblInd w:w="-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557"/>
        <w:gridCol w:w="4963"/>
        <w:gridCol w:w="1282"/>
        <w:gridCol w:w="1796"/>
      </w:tblGrid>
      <w:tr>
        <w:trPr>
          <w:trHeight w:val="793" w:hRule="atLeast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ind w:left="-70" w:hanging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Вид заняття</w:t>
            </w:r>
          </w:p>
          <w:p>
            <w:pPr>
              <w:pStyle w:val="Normal"/>
              <w:widowControl w:val="false"/>
              <w:spacing w:lineRule="auto" w:line="276"/>
              <w:ind w:left="-70" w:hanging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/роботи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Назва теми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Кількість</w:t>
            </w:r>
          </w:p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годин</w:t>
            </w:r>
          </w:p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о/д. ф.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Згідно з розкладом</w:t>
            </w:r>
          </w:p>
        </w:tc>
      </w:tr>
      <w:tr>
        <w:trPr>
          <w:trHeight w:val="88" w:hRule="atLeast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>
                <w:b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4</w:t>
            </w:r>
          </w:p>
        </w:tc>
      </w:tr>
      <w:tr>
        <w:trPr>
          <w:trHeight w:val="435" w:hRule="atLeast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Вступ до дисципліни. Загальні поняття CASE-технологій.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</w:t>
            </w:r>
          </w:p>
        </w:tc>
      </w:tr>
      <w:tr>
        <w:trPr>
          <w:trHeight w:val="327" w:hRule="atLeast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 робота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Ознайомлення з CASE-середовищем та інтерфейсом інструменту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</w:t>
            </w:r>
          </w:p>
        </w:tc>
      </w:tr>
      <w:tr>
        <w:trPr>
          <w:trHeight w:val="327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Загальні поняття CASE-технологій.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</w:t>
            </w:r>
          </w:p>
        </w:tc>
      </w:tr>
      <w:tr>
        <w:trPr>
          <w:trHeight w:val="327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 Класифікація та архітектура CASE-систем.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2</w:t>
            </w:r>
          </w:p>
        </w:tc>
      </w:tr>
      <w:tr>
        <w:trPr>
          <w:trHeight w:val="499" w:hRule="atLeast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 робота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Моделювання вимог до програмної системи засобами UML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2</w:t>
            </w:r>
          </w:p>
        </w:tc>
      </w:tr>
      <w:tr>
        <w:trPr>
          <w:trHeight w:val="565" w:hRule="atLeast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Класифікація та архітектура CASE-систем.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2</w:t>
            </w:r>
          </w:p>
        </w:tc>
      </w:tr>
      <w:tr>
        <w:trPr>
          <w:trHeight w:val="511" w:hRule="atLeast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 Методології аналізу та проєктування інформаційних систем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3</w:t>
            </w:r>
          </w:p>
        </w:tc>
      </w:tr>
      <w:tr>
        <w:trPr>
          <w:trHeight w:val="675" w:hRule="atLeast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 робота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Моделювання вимог до програмної системи засобами UML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675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Моделювання вимог до програмної системи засобами UML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3</w:t>
            </w:r>
          </w:p>
        </w:tc>
      </w:tr>
      <w:tr>
        <w:trPr>
          <w:trHeight w:val="675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 UML як базова нотація CASE-моделювання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4</w:t>
            </w:r>
          </w:p>
        </w:tc>
      </w:tr>
      <w:tr>
        <w:trPr>
          <w:trHeight w:val="675" w:hRule="atLeast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 робота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Проєктування структури системи: діаграма класів UML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4</w:t>
            </w:r>
          </w:p>
        </w:tc>
      </w:tr>
      <w:tr>
        <w:trPr>
          <w:trHeight w:val="547" w:hRule="atLeast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UML як базова нотація CASE-моделювання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4</w:t>
            </w:r>
          </w:p>
        </w:tc>
      </w:tr>
      <w:tr>
        <w:trPr>
          <w:trHeight w:val="361" w:hRule="atLeast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Поведінкові та архітектурні діаграми UML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5</w:t>
            </w:r>
          </w:p>
        </w:tc>
      </w:tr>
      <w:tr>
        <w:trPr>
          <w:trHeight w:val="499" w:hRule="atLeast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 робота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Проєктування структури системи: діаграма класів UML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9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Поведінкові та архітектурні діаграми UML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5</w:t>
            </w:r>
          </w:p>
        </w:tc>
      </w:tr>
      <w:tr>
        <w:trPr>
          <w:trHeight w:val="499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 Огляд сучасних CASE-інструментів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6</w:t>
            </w:r>
          </w:p>
        </w:tc>
      </w:tr>
      <w:tr>
        <w:trPr>
          <w:trHeight w:val="493" w:hRule="atLeast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 робота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rFonts w:eastAsia="MS Mincho" w:cs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4. Моделювання поведінки системи у CASE-середовищі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6</w:t>
            </w:r>
          </w:p>
        </w:tc>
      </w:tr>
      <w:tr>
        <w:trPr>
          <w:trHeight w:val="493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Огляд сучасних CASE-інструментів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6</w:t>
            </w:r>
          </w:p>
        </w:tc>
      </w:tr>
      <w:tr>
        <w:trPr>
          <w:trHeight w:val="493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 Репозиторії моделей та колективна робота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7</w:t>
            </w:r>
          </w:p>
        </w:tc>
      </w:tr>
      <w:tr>
        <w:trPr>
          <w:trHeight w:val="493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 робота 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 Моделювання поведінки системи у CASE-середовищі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3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284" w:leader="none"/>
                <w:tab w:val="left" w:pos="567" w:leader="none"/>
              </w:tabs>
              <w:ind w:left="34" w:right="14" w:hang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Репозиторії моделей та колективна робота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7</w:t>
            </w:r>
          </w:p>
        </w:tc>
      </w:tr>
      <w:tr>
        <w:trPr>
          <w:trHeight w:val="493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 Автоматизація проєктної документації та генерація коду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8</w:t>
            </w:r>
          </w:p>
        </w:tc>
      </w:tr>
      <w:tr>
        <w:trPr>
          <w:trHeight w:val="493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 робота 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 Використання репозиторію моделей та засобів колективної роботи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8</w:t>
            </w:r>
          </w:p>
        </w:tc>
      </w:tr>
      <w:tr>
        <w:trPr>
          <w:trHeight w:val="493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284" w:leader="none"/>
                <w:tab w:val="left" w:pos="567" w:leader="none"/>
              </w:tabs>
              <w:ind w:left="34" w:right="14" w:hang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Автоматизація проєктної документації та генерація коду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8</w:t>
            </w:r>
          </w:p>
        </w:tc>
      </w:tr>
      <w:tr>
        <w:trPr>
          <w:trHeight w:val="493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 CASE-системи у супроводі та реінжинірингу ПЗ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9</w:t>
            </w:r>
          </w:p>
        </w:tc>
      </w:tr>
      <w:tr>
        <w:trPr>
          <w:trHeight w:val="493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 робота 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ind w:left="34" w:right="14" w:hanging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 Використання репозиторію моделей та засобів колективної роботи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3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Використання репозиторію моделей та засобів колективної роботи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9</w:t>
            </w:r>
          </w:p>
        </w:tc>
      </w:tr>
      <w:tr>
        <w:trPr>
          <w:trHeight w:val="493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10. Приклад використання CASE-систем у проєкті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10</w:t>
            </w:r>
          </w:p>
        </w:tc>
      </w:tr>
      <w:tr>
        <w:trPr>
          <w:trHeight w:val="493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 робота 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rFonts w:eastAsia="MS Mincho" w:cs="Times New Roman"/>
                <w:color w:val="000000"/>
                <w:kern w:val="0"/>
                <w:sz w:val="24"/>
                <w:szCs w:val="24"/>
                <w:lang w:val="uk-UA" w:eastAsia="en-US" w:bidi="ar-SA"/>
              </w:rPr>
              <w:t>6. Генерація документації та коду на основі CASE-моделей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10</w:t>
            </w:r>
          </w:p>
        </w:tc>
      </w:tr>
      <w:tr>
        <w:trPr>
          <w:trHeight w:val="493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rFonts w:eastAsia="MS Mincho" w:cs="Times New Roman"/>
                <w:color w:val="000000"/>
                <w:kern w:val="0"/>
                <w:sz w:val="24"/>
                <w:szCs w:val="24"/>
                <w:lang w:val="uk-UA" w:eastAsia="en-US" w:bidi="ar-SA"/>
              </w:rPr>
              <w:t>Генерація документації та коду на основі CASE-моделей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10</w:t>
            </w:r>
          </w:p>
        </w:tc>
      </w:tr>
      <w:tr>
        <w:trPr>
          <w:trHeight w:val="493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Лекція 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11. Узагальнення та підсумковий контроль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11</w:t>
            </w:r>
          </w:p>
        </w:tc>
      </w:tr>
      <w:tr>
        <w:trPr>
          <w:trHeight w:val="493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 робота 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Генерація документації та коду на основі CASE-моделей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93" w:hRule="atLeast"/>
        </w:trPr>
        <w:tc>
          <w:tcPr>
            <w:tcW w:w="1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4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84" w:leader="none"/>
                <w:tab w:val="left" w:pos="567" w:leader="none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Узагальнення виченого матеріалу. Підготовка  до підсумкового контролю.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тиждень 11</w:t>
            </w:r>
          </w:p>
        </w:tc>
      </w:tr>
    </w:tbl>
    <w:p>
      <w:pPr>
        <w:pStyle w:val="Normal"/>
        <w:spacing w:lineRule="auto" w:line="276" w:before="0" w:after="140"/>
        <w:ind w:left="118" w:firstLine="709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Normal"/>
        <w:shd w:val="clear" w:color="auto" w:fill="FFFFFF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Методичні рекомендації до практичних та самостійних занять розміщено СЕЗН ЗНУ Moodle на сторінці дисципліни.</w:t>
      </w:r>
    </w:p>
    <w:p>
      <w:pPr>
        <w:pStyle w:val="Normal"/>
        <w:shd w:val="clear" w:color="auto" w:fill="FFFFFF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hd w:val="clear" w:color="auto" w:fill="FFFFFF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hd w:val="clear" w:color="auto" w:fill="FFFFFF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927" w:hanging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Види і зміст контрольних заходів </w:t>
      </w:r>
    </w:p>
    <w:p>
      <w:pPr>
        <w:pStyle w:val="Normal"/>
        <w:ind w:left="927" w:hanging="0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tbl>
      <w:tblPr>
        <w:tblStyle w:val="afb"/>
        <w:tblW w:w="9747" w:type="dxa"/>
        <w:jc w:val="left"/>
        <w:tblInd w:w="2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384"/>
        <w:gridCol w:w="2182"/>
        <w:gridCol w:w="1673"/>
        <w:gridCol w:w="3360"/>
        <w:gridCol w:w="1148"/>
      </w:tblGrid>
      <w:tr>
        <w:trPr>
          <w:trHeight w:val="575" w:hRule="atLeast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заняття/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роботи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контрольного заходу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Зміст контрольного заходу*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Критерії оцінювання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та термін виконання*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Усього балів</w:t>
            </w:r>
          </w:p>
        </w:tc>
      </w:tr>
      <w:tr>
        <w:trPr>
          <w:trHeight w:val="343" w:hRule="atLeast"/>
        </w:trPr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Поточний контроль</w:t>
            </w:r>
          </w:p>
        </w:tc>
      </w:tr>
      <w:tr>
        <w:trPr>
          <w:trHeight w:val="758" w:hRule="atLeast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Практичне заняття №1-6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34" w:hanging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Лабораторна робота 1 -  6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34" w:hanging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Розміщено в СЕЗН ЗНУ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Повний захист кожного виконаного завдання оцінюється в 5 балів, тільки зданий звіт - 3 бала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60</w:t>
            </w:r>
          </w:p>
        </w:tc>
      </w:tr>
      <w:tr>
        <w:trPr/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Усього за поточний контроль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</w:tr>
      <w:tr>
        <w:trPr/>
        <w:tc>
          <w:tcPr>
            <w:tcW w:w="97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Підсумковий контроль</w:t>
            </w:r>
          </w:p>
        </w:tc>
      </w:tr>
      <w:tr>
        <w:trPr>
          <w:trHeight w:val="638" w:hRule="atLeast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Залік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Теоретичне завдання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Розміщено в СЕЗН ЗНУ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 w:val="20"/>
                <w:szCs w:val="20"/>
              </w:rPr>
              <w:t xml:space="preserve">40 тестових питань (вибір правильної відповіді з декількох можливих) </w:t>
            </w:r>
            <w:r>
              <w:rPr>
                <w:rFonts w:eastAsia="Noto Sans Symbols" w:cs="Noto Sans Symbols" w:ascii="Noto Sans Symbols" w:hAnsi="Noto Sans Symbols"/>
                <w:color w:val="000000"/>
                <w:sz w:val="20"/>
                <w:szCs w:val="20"/>
              </w:rPr>
              <w:t>−</w:t>
            </w:r>
            <w:r>
              <w:rPr>
                <w:color w:val="000000"/>
                <w:sz w:val="20"/>
                <w:szCs w:val="20"/>
              </w:rPr>
              <w:t xml:space="preserve"> по 0.5 бала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>
        <w:trPr/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Усього за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підсумковий контроль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</w:tbl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Шкала оцінювання ЗНУ: національна та ECTS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tbl>
      <w:tblPr>
        <w:tblStyle w:val="afc"/>
        <w:tblW w:w="1000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500"/>
        <w:gridCol w:w="4509"/>
        <w:gridCol w:w="2126"/>
        <w:gridCol w:w="1872"/>
      </w:tblGrid>
      <w:tr>
        <w:trPr>
          <w:trHeight w:val="205" w:hRule="atLeast"/>
          <w:cantSplit w:val="true"/>
        </w:trPr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2"/>
              <w:widowControl w:val="false"/>
              <w:numPr>
                <w:ilvl w:val="1"/>
                <w:numId w:val="1"/>
              </w:numPr>
              <w:spacing w:lineRule="auto" w:line="216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mallCaps/>
                <w:color w:val="000000"/>
                <w:sz w:val="24"/>
                <w:szCs w:val="24"/>
              </w:rPr>
              <w:t>З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а шкалою</w:t>
            </w:r>
          </w:p>
          <w:p>
            <w:pPr>
              <w:pStyle w:val="Heading6"/>
              <w:widowControl w:val="false"/>
              <w:numPr>
                <w:ilvl w:val="5"/>
                <w:numId w:val="1"/>
              </w:numPr>
              <w:spacing w:lineRule="auto" w:line="216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>ECTS</w:t>
            </w:r>
          </w:p>
        </w:tc>
        <w:tc>
          <w:tcPr>
            <w:tcW w:w="4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5"/>
              <w:widowControl w:val="false"/>
              <w:numPr>
                <w:ilvl w:val="4"/>
                <w:numId w:val="1"/>
              </w:numPr>
              <w:spacing w:lineRule="auto" w:line="216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>За шкалою університету</w:t>
            </w:r>
          </w:p>
        </w:tc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3"/>
              <w:widowControl w:val="false"/>
              <w:numPr>
                <w:ilvl w:val="2"/>
                <w:numId w:val="1"/>
              </w:numPr>
              <w:tabs>
                <w:tab w:val="clear" w:pos="720"/>
                <w:tab w:val="left" w:pos="0" w:leader="none"/>
              </w:tabs>
              <w:spacing w:lineRule="auto" w:line="216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За національною шкалою</w:t>
            </w:r>
          </w:p>
        </w:tc>
      </w:tr>
      <w:tr>
        <w:trPr>
          <w:trHeight w:val="58" w:hRule="atLeast"/>
          <w:cantSplit w:val="true"/>
        </w:trPr>
        <w:tc>
          <w:tcPr>
            <w:tcW w:w="15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76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5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76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3"/>
              <w:widowControl w:val="false"/>
              <w:numPr>
                <w:ilvl w:val="2"/>
                <w:numId w:val="1"/>
              </w:numPr>
              <w:spacing w:lineRule="auto" w:line="216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Екзамен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3"/>
              <w:widowControl w:val="false"/>
              <w:numPr>
                <w:ilvl w:val="2"/>
                <w:numId w:val="1"/>
              </w:numPr>
              <w:spacing w:lineRule="auto" w:line="216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Залік</w:t>
            </w:r>
          </w:p>
        </w:tc>
      </w:tr>
      <w:tr>
        <w:trPr>
          <w:cantSplit w:val="true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A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90 – 100 (відмінно)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Heading4"/>
              <w:widowControl w:val="false"/>
              <w:numPr>
                <w:ilvl w:val="3"/>
                <w:numId w:val="1"/>
              </w:numPr>
              <w:spacing w:lineRule="auto" w:line="216" w:before="0" w:after="0"/>
              <w:jc w:val="center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</w:rPr>
              <w:t>5 (відмінно)</w:t>
            </w:r>
          </w:p>
        </w:tc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Heading4"/>
              <w:widowControl w:val="false"/>
              <w:numPr>
                <w:ilvl w:val="3"/>
                <w:numId w:val="1"/>
              </w:numPr>
              <w:spacing w:lineRule="auto" w:line="216" w:before="0" w:after="0"/>
              <w:jc w:val="center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i w:val="false"/>
                <w:iCs w:val="false"/>
                <w:color w:val="000000"/>
              </w:rPr>
              <w:t>Зараховано</w:t>
            </w:r>
          </w:p>
        </w:tc>
      </w:tr>
      <w:tr>
        <w:trPr>
          <w:cantSplit w:val="true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B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85 – 89 (дуже добре)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54" w:hanging="0"/>
              <w:jc w:val="center"/>
              <w:rPr/>
            </w:pPr>
            <w:r>
              <w:rPr/>
              <w:t>4 (добре)</w:t>
            </w:r>
          </w:p>
        </w:tc>
        <w:tc>
          <w:tcPr>
            <w:tcW w:w="18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C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75 – 84 (добре)</w:t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8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D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70 – 74 (задовільно)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54" w:hanging="0"/>
              <w:jc w:val="center"/>
              <w:rPr/>
            </w:pPr>
            <w:r>
              <w:rPr/>
              <w:t>3 (задовільно)</w:t>
            </w:r>
          </w:p>
        </w:tc>
        <w:tc>
          <w:tcPr>
            <w:tcW w:w="18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E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60 – 69 (достатньо)</w:t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8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</w:tc>
      </w:tr>
      <w:tr>
        <w:trPr>
          <w:cantSplit w:val="true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FX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35 – 59 (незадовільно – з можливістю повторного складання)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54" w:hanging="0"/>
              <w:jc w:val="center"/>
              <w:rPr/>
            </w:pPr>
            <w:r>
              <w:rPr/>
              <w:t>2 (незадовільно)</w:t>
            </w:r>
          </w:p>
        </w:tc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54" w:hanging="0"/>
              <w:rPr/>
            </w:pPr>
            <w:r>
              <w:rPr/>
              <w:t>Не зараховано</w:t>
            </w:r>
          </w:p>
        </w:tc>
      </w:tr>
      <w:tr>
        <w:trPr>
          <w:cantSplit w:val="true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-68" w:hanging="0"/>
              <w:jc w:val="center"/>
              <w:rPr/>
            </w:pPr>
            <w:r>
              <w:rPr/>
              <w:t>F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16"/>
              <w:ind w:right="223" w:hanging="0"/>
              <w:jc w:val="center"/>
              <w:rPr/>
            </w:pPr>
            <w:r>
              <w:rPr/>
              <w:t>1 – 34 (незадовільно – з обов’язковим повторним курсом)</w:t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8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/>
            </w:r>
          </w:p>
        </w:tc>
      </w:tr>
    </w:tbl>
    <w:p>
      <w:pPr>
        <w:pStyle w:val="Normal"/>
        <w:shd w:val="clear" w:color="auto" w:fill="FFFFFF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hd w:val="clear" w:color="auto" w:fill="FFFFFF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Основні навчальні ресурси </w:t>
      </w:r>
    </w:p>
    <w:p>
      <w:pPr>
        <w:pStyle w:val="Normal"/>
        <w:shd w:val="clear" w:color="auto" w:fill="FFFFFF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hd w:val="clear" w:color="auto" w:fill="FFFFFF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Рекомендована література</w:t>
      </w:r>
    </w:p>
    <w:p>
      <w:pPr>
        <w:pStyle w:val="Normal"/>
        <w:shd w:val="clear" w:color="auto" w:fill="FFFFFF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142" w:leader="none"/>
        </w:tabs>
        <w:spacing w:lineRule="auto" w:line="276" w:before="0" w:after="140"/>
        <w:jc w:val="both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  <w:shd w:fill="auto" w:val="clear"/>
        </w:rPr>
      </w:pPr>
      <w:bookmarkStart w:id="0" w:name="docs-internal-guid-aa4061aa-7fff-807e-fb"/>
      <w:bookmarkEnd w:id="0"/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  <w:shd w:fill="auto" w:val="clear"/>
        </w:rPr>
        <w:t xml:space="preserve">Ізмайлова О. В.  Проектування інформаційних систем : навч. посіб. Київ : КНУБА, 2022. 88 с. URL: </w:t>
      </w:r>
      <w:hyperlink r:id="rId3">
        <w:r>
          <w:rPr>
            <w:rStyle w:val="InternetLink"/>
            <w:rFonts w:ascii="Times New Roman;serif" w:hAnsi="Times New Roman;serif"/>
            <w:b w:val="false"/>
            <w:i w:val="false"/>
            <w:caps w:val="false"/>
            <w:smallCaps w:val="false"/>
            <w:strike w:val="false"/>
            <w:dstrike w:val="false"/>
            <w:color w:val="000000"/>
            <w:sz w:val="24"/>
            <w:u w:val="none"/>
            <w:effect w:val="none"/>
            <w:shd w:fill="auto" w:val="clear"/>
          </w:rPr>
          <w:t>http://files.znu.edu.ua/files/Bibliobooks/Inshi83/0063532.pdf</w:t>
        </w:r>
      </w:hyperlink>
      <w:hyperlink r:id="rId4">
        <w:r>
          <w:rPr>
            <w:rFonts w:ascii="Times New Roman;serif" w:hAnsi="Times New Roman;serif"/>
            <w:b w:val="false"/>
            <w:i w:val="false"/>
            <w:caps w:val="false"/>
            <w:smallCaps w:val="false"/>
            <w:strike w:val="false"/>
            <w:dstrike w:val="false"/>
            <w:color w:val="000000"/>
            <w:sz w:val="24"/>
            <w:u w:val="none"/>
            <w:effect w:val="none"/>
            <w:shd w:fill="auto" w:val="clear"/>
          </w:rPr>
          <w:t xml:space="preserve"> .</w:t>
        </w:r>
      </w:hyperlink>
    </w:p>
    <w:p>
      <w:pPr>
        <w:pStyle w:val="TextBody"/>
        <w:numPr>
          <w:ilvl w:val="0"/>
          <w:numId w:val="2"/>
        </w:numPr>
        <w:tabs>
          <w:tab w:val="clear" w:pos="720"/>
          <w:tab w:val="left" w:pos="142" w:leader="none"/>
        </w:tabs>
        <w:spacing w:lineRule="auto" w:line="276" w:before="0" w:after="140"/>
        <w:jc w:val="both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  <w:shd w:fill="auto" w:val="clear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  <w:shd w:fill="auto" w:val="clear"/>
        </w:rPr>
        <w:t xml:space="preserve">Sundaramoorthy S. UML Diagramming: A Case Study Approach. Boca Raton : Taylor &amp; Francis, 2022. 416 с. ISBN 9781032261294. URL: </w:t>
      </w:r>
      <w:hyperlink r:id="rId5">
        <w:r>
          <w:rPr>
            <w:rStyle w:val="InternetLink"/>
            <w:rFonts w:ascii="Times New Roman;serif" w:hAnsi="Times New Roman;serif"/>
            <w:b w:val="false"/>
            <w:i w:val="false"/>
            <w:caps w:val="false"/>
            <w:smallCaps w:val="false"/>
            <w:strike w:val="false"/>
            <w:dstrike w:val="false"/>
            <w:color w:val="000000"/>
            <w:sz w:val="24"/>
            <w:u w:val="none"/>
            <w:effect w:val="none"/>
            <w:shd w:fill="auto" w:val="clear"/>
          </w:rPr>
          <w:t>https://www.routledge.com/UML-Diagramming-A-Case-Study-Approach/Sundaramoorthy/p/book/9781032120782</w:t>
        </w:r>
      </w:hyperlink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  <w:shd w:fill="auto" w:val="clear"/>
        </w:rPr>
        <w:t xml:space="preserve"> </w:t>
      </w:r>
    </w:p>
    <w:p>
      <w:pPr>
        <w:pStyle w:val="TextBody"/>
        <w:numPr>
          <w:ilvl w:val="0"/>
          <w:numId w:val="5"/>
        </w:numPr>
        <w:tabs>
          <w:tab w:val="clear" w:pos="720"/>
          <w:tab w:val="left" w:pos="0" w:leader="none"/>
        </w:tabs>
        <w:bidi w:val="0"/>
        <w:spacing w:lineRule="auto" w:line="288" w:before="0" w:after="120"/>
        <w:ind w:left="709" w:right="0" w:hanging="283"/>
        <w:jc w:val="both"/>
        <w:rPr/>
      </w:pPr>
      <w:r>
        <w:rPr>
          <w:rFonts w:ascii="Times New Roman;serif" w:hAnsi="Times New Roman;serif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  <w:shd w:fill="auto" w:val="clear"/>
        </w:rPr>
        <w:t xml:space="preserve">Oliveira Jr. E. (ed.). UML-Based Software Product Line Engineering with SMarty. Cham : Springer, 2023. URL: </w:t>
      </w:r>
      <w:hyperlink r:id="rId6">
        <w:r>
          <w:rPr>
            <w:rStyle w:val="InternetLink"/>
            <w:rFonts w:ascii="Times New Roman;serif" w:hAnsi="Times New Roman;serif"/>
            <w:b w:val="false"/>
            <w:i w:val="false"/>
            <w:caps w:val="false"/>
            <w:smallCaps w:val="false"/>
            <w:strike w:val="false"/>
            <w:dstrike w:val="false"/>
            <w:color w:val="000000"/>
            <w:sz w:val="24"/>
            <w:u w:val="none"/>
            <w:effect w:val="none"/>
            <w:shd w:fill="auto" w:val="clear"/>
          </w:rPr>
          <w:t>https://link.springer.com/book/10.1007/978-3-031-18556-4</w:t>
        </w:r>
      </w:hyperlink>
      <w:hyperlink r:id="rId7">
        <w:r>
          <w:rPr>
            <w:rFonts w:ascii="Times New Roman;serif" w:hAnsi="Times New Roman;serif"/>
            <w:b w:val="false"/>
            <w:i w:val="false"/>
            <w:caps w:val="false"/>
            <w:smallCaps w:val="false"/>
            <w:strike w:val="false"/>
            <w:dstrike w:val="false"/>
            <w:color w:val="000000"/>
            <w:sz w:val="24"/>
            <w:u w:val="none"/>
            <w:effect w:val="none"/>
            <w:shd w:fill="auto" w:val="clear"/>
          </w:rPr>
          <w:t xml:space="preserve">  </w:t>
        </w:r>
      </w:hyperlink>
    </w:p>
    <w:p>
      <w:pPr>
        <w:pStyle w:val="TextBody"/>
        <w:numPr>
          <w:ilvl w:val="0"/>
          <w:numId w:val="2"/>
        </w:numPr>
        <w:tabs>
          <w:tab w:val="clear" w:pos="720"/>
          <w:tab w:val="left" w:pos="142" w:leader="none"/>
        </w:tabs>
        <w:spacing w:lineRule="auto" w:line="276" w:before="0" w:after="140"/>
        <w:jc w:val="both"/>
        <w:rPr/>
      </w:pPr>
      <w:r>
        <w:rPr>
          <w:color w:val="000000"/>
        </w:rPr>
        <w:t xml:space="preserve">Sommerville I. Software Engineering. URL: </w:t>
      </w:r>
      <w:hyperlink r:id="rId8">
        <w:r>
          <w:rPr>
            <w:rStyle w:val="InternetLink"/>
            <w:color w:val="000000"/>
          </w:rPr>
          <w:t>https://engineering.futureuniversity.com/BOOKS%20FOR%20IT/Software-Engineering-9th-Edition-by-Ian-Sommerville.pdf</w:t>
        </w:r>
      </w:hyperlink>
      <w:hyperlink r:id="rId9">
        <w:r>
          <w:rPr>
            <w:color w:val="000000"/>
          </w:rPr>
          <w:t xml:space="preserve"> </w:t>
        </w:r>
      </w:hyperlink>
    </w:p>
    <w:p>
      <w:pPr>
        <w:pStyle w:val="TextBody"/>
        <w:numPr>
          <w:ilvl w:val="0"/>
          <w:numId w:val="2"/>
        </w:numPr>
        <w:rPr/>
      </w:pPr>
      <w:r>
        <w:rPr/>
        <w:t xml:space="preserve">Ізмайлова О. В.  Проектування інформаційних систем : навч. посіб. Київ : КНУБА, 2022. 88 с. URL: </w:t>
      </w:r>
      <w:hyperlink r:id="rId10">
        <w:r>
          <w:rPr>
            <w:rStyle w:val="InternetLink"/>
          </w:rPr>
          <w:t>http://files.znu.edu.ua/files/Bibliobooks/Inshi83/0063532.pdf</w:t>
        </w:r>
      </w:hyperlink>
      <w:hyperlink r:id="rId11">
        <w:r>
          <w:rPr/>
          <w:t>.</w:t>
        </w:r>
      </w:hyperlink>
    </w:p>
    <w:p>
      <w:pPr>
        <w:pStyle w:val="TextBody"/>
        <w:numPr>
          <w:ilvl w:val="0"/>
          <w:numId w:val="2"/>
        </w:numPr>
        <w:rPr/>
      </w:pPr>
      <w:r>
        <w:rPr/>
        <w:t xml:space="preserve">Wazlawick R. S.  Object-Oriented Analysis and Design for Information Systems: Agile Modeling with BPMN, OCL, IFML, and Python. 2nd ed. Cambridge : Morgan Kaufmann, 2024. 391 p. URL: </w:t>
      </w:r>
      <w:hyperlink r:id="rId12">
        <w:r>
          <w:rPr>
            <w:rStyle w:val="InternetLink"/>
          </w:rPr>
          <w:t>http://files.znu.edu.ua/files/Bibliobooks/Inshi78/0057855/</w:t>
        </w:r>
      </w:hyperlink>
      <w:hyperlink r:id="rId13">
        <w:r>
          <w:rPr/>
          <w:t xml:space="preserve"> .</w:t>
        </w:r>
      </w:hyperlink>
    </w:p>
    <w:p>
      <w:pPr>
        <w:pStyle w:val="Normal"/>
        <w:tabs>
          <w:tab w:val="clear" w:pos="720"/>
          <w:tab w:val="left" w:pos="142" w:leader="none"/>
        </w:tabs>
        <w:spacing w:lineRule="auto" w:line="276" w:before="0" w:after="140"/>
        <w:jc w:val="both"/>
        <w:rPr>
          <w:color w:val="000000"/>
        </w:rPr>
      </w:pPr>
      <w:r>
        <w:rPr/>
      </w:r>
      <w:r>
        <w:br w:type="page"/>
      </w:r>
    </w:p>
    <w:p>
      <w:pPr>
        <w:pStyle w:val="Normal"/>
        <w:tabs>
          <w:tab w:val="clear" w:pos="720"/>
          <w:tab w:val="left" w:pos="142" w:leader="none"/>
        </w:tabs>
        <w:spacing w:lineRule="auto" w:line="276" w:before="0" w:after="140"/>
        <w:jc w:val="both"/>
        <w:rPr/>
      </w:pPr>
      <w:r>
        <w:rPr/>
      </w:r>
    </w:p>
    <w:p>
      <w:pPr>
        <w:pStyle w:val="Normal"/>
        <w:tabs>
          <w:tab w:val="clear" w:pos="720"/>
          <w:tab w:val="left" w:pos="142" w:leader="none"/>
        </w:tabs>
        <w:spacing w:lineRule="auto" w:line="276" w:before="0" w:after="140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Регуляції і політики курсу</w:t>
      </w:r>
    </w:p>
    <w:p>
      <w:pPr>
        <w:pStyle w:val="Normal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</w:p>
    <w:p>
      <w:pPr>
        <w:pStyle w:val="Normal"/>
        <w:rPr>
          <w:b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Відвідування занять. Регуляція пропусків.</w:t>
      </w:r>
    </w:p>
    <w:p>
      <w:pPr>
        <w:pStyle w:val="Normal"/>
        <w:jc w:val="both"/>
        <w:rPr/>
      </w:pPr>
      <w:r>
        <w:rPr>
          <w:color w:val="000000"/>
          <w:sz w:val="26"/>
          <w:szCs w:val="26"/>
        </w:rPr>
        <w:t xml:space="preserve">Відвідування усіх занять є обов’язковим. </w:t>
      </w:r>
      <w:r>
        <w:rPr>
          <w:sz w:val="26"/>
          <w:szCs w:val="26"/>
        </w:rPr>
        <w:t xml:space="preserve">Студенти зобов’язані дотримуватися усіх строків, визначених для виконання усіх видів робіт, передбачених даною дисципліною. Пропуски та запізнення на заняття є недопустимими. </w:t>
      </w:r>
    </w:p>
    <w:p>
      <w:pPr>
        <w:pStyle w:val="Normal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</w:r>
    </w:p>
    <w:p>
      <w:pPr>
        <w:pStyle w:val="Normal"/>
        <w:rPr>
          <w:b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Політика академічної доброчесності</w:t>
      </w:r>
    </w:p>
    <w:p>
      <w:pPr>
        <w:pStyle w:val="Normal"/>
        <w:jc w:val="both"/>
        <w:rPr/>
      </w:pPr>
      <w:r>
        <w:rPr>
          <w:color w:val="000000"/>
          <w:sz w:val="26"/>
          <w:szCs w:val="26"/>
        </w:rPr>
        <w:t xml:space="preserve">Кожний студент зобов’язаний дотримуватися принципів академічної доброчесності. Письмові завдання з використанням часткових або повнотекстових запозичень з інших робіт без зазначення авторства – це </w:t>
      </w:r>
      <w:r>
        <w:rPr>
          <w:i/>
          <w:iCs/>
          <w:color w:val="000000"/>
          <w:sz w:val="26"/>
          <w:szCs w:val="26"/>
        </w:rPr>
        <w:t>плагіат</w:t>
      </w:r>
      <w:r>
        <w:rPr>
          <w:color w:val="000000"/>
          <w:sz w:val="26"/>
          <w:szCs w:val="26"/>
        </w:rPr>
        <w:t>. Використання будь-якої інформації (текст, фото, ілюстрації тощо) мають бути правильно процитовані з посиланням на автора! Якщо ви не впевнені, що таке плагіат, фабрикація, фальсифікація, порадьтеся з викладачем. До студентів, у роботах яких буде виявлено списування, плагіат чи інші прояви недоброчесної поведінки можуть бути застосовані різні дисциплінарні заходи (див. посилання на Кодекс академічної доброчесності ЗНУ в додатку до силабусу).</w:t>
      </w:r>
      <w:r>
        <w:rPr>
          <w:sz w:val="26"/>
          <w:szCs w:val="26"/>
        </w:rPr>
        <w:t xml:space="preserve"> Неприпустиме складання роботи, виконаної іншою особою.</w:t>
      </w:r>
    </w:p>
    <w:p>
      <w:pPr>
        <w:pStyle w:val="Normal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rPr>
          <w:b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Використання комп’ютерів/телефонів на занятті</w:t>
      </w:r>
    </w:p>
    <w:p>
      <w:pPr>
        <w:pStyle w:val="Normal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Використання мобільних телефонів, ноутбуків та інших гаджетів під час лекційних та лабораторних занять дозволяється виключно у навчальних цілях (з активованим режимом «без звуку»).</w:t>
      </w:r>
    </w:p>
    <w:p>
      <w:pPr>
        <w:pStyle w:val="Normal"/>
        <w:jc w:val="both"/>
        <w:rPr>
          <w:color w:val="000000"/>
          <w:sz w:val="26"/>
          <w:szCs w:val="26"/>
          <w:highlight w:val="yellow"/>
        </w:rPr>
      </w:pPr>
      <w:r>
        <w:rPr>
          <w:color w:val="000000"/>
          <w:sz w:val="26"/>
          <w:szCs w:val="26"/>
          <w:highlight w:val="yellow"/>
        </w:rPr>
      </w:r>
    </w:p>
    <w:p>
      <w:pPr>
        <w:pStyle w:val="Normal"/>
        <w:rPr>
          <w:b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Комунікація</w:t>
      </w:r>
    </w:p>
    <w:p>
      <w:pPr>
        <w:pStyle w:val="Normal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Комунікація викладача зі студентами здійснюється безпосередньо на заняттях та додатково за допомогою месенджерів (наприклад, Telegram), електронної пошти і в СЕЗН Moodle (форум курсу, приватні повідомлення)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ДОДАТКОВА ІНФОРМАЦІЯ</w:t>
      </w:r>
    </w:p>
    <w:p>
      <w:pPr>
        <w:pStyle w:val="Normal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>ГРАФІК ОСВІТНЬОГО ПРОЦЕСУ 202</w:t>
      </w:r>
      <w:r>
        <w:rPr>
          <w:b/>
          <w:bCs/>
          <w:sz w:val="26"/>
          <w:szCs w:val="26"/>
        </w:rPr>
        <w:t>5</w:t>
      </w:r>
      <w:r>
        <w:rPr>
          <w:b/>
          <w:bCs/>
          <w:sz w:val="26"/>
          <w:szCs w:val="26"/>
        </w:rPr>
        <w:t>-202</w:t>
      </w:r>
      <w:r>
        <w:rPr>
          <w:b/>
          <w:bCs/>
          <w:sz w:val="26"/>
          <w:szCs w:val="26"/>
        </w:rPr>
        <w:t>6</w:t>
      </w:r>
      <w:r>
        <w:rPr>
          <w:b/>
          <w:bCs/>
          <w:sz w:val="26"/>
          <w:szCs w:val="26"/>
        </w:rPr>
        <w:t xml:space="preserve"> н. р. </w:t>
      </w:r>
      <w:r>
        <w:rPr>
          <w:sz w:val="26"/>
          <w:szCs w:val="26"/>
        </w:rPr>
        <w:t xml:space="preserve">доступний за адресою: </w:t>
      </w:r>
      <w:hyperlink r:id="rId14">
        <w:r>
          <w:rPr>
            <w:color w:val="000000"/>
            <w:sz w:val="26"/>
            <w:szCs w:val="26"/>
            <w:u w:val="single"/>
          </w:rPr>
          <w:t>https://tinyurl.com/yckze4jd</w:t>
        </w:r>
      </w:hyperlink>
      <w:r>
        <w:rPr>
          <w:sz w:val="26"/>
          <w:szCs w:val="26"/>
        </w:rPr>
        <w:t>.</w:t>
      </w:r>
    </w:p>
    <w:p>
      <w:pPr>
        <w:pStyle w:val="Normal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 xml:space="preserve">НАВЧАЛЬНИЙ ПРОЦЕС ТА ЗАБЕЗПЕЧЕННЯ ЯКОСТІ ОСВІТИ. </w:t>
      </w:r>
      <w:r>
        <w:rPr>
          <w:sz w:val="26"/>
          <w:szCs w:val="26"/>
        </w:rPr>
        <w:t xml:space="preserve">Перевірка набутих студентами знань, навичок та вмінь (атестації, заліки, іспити та інші форми контролю) є невід’ємною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ЗНУ: </w:t>
      </w:r>
      <w:hyperlink r:id="rId15">
        <w:r>
          <w:rPr>
            <w:color w:val="000000"/>
            <w:sz w:val="26"/>
            <w:szCs w:val="26"/>
            <w:highlight w:val="white"/>
            <w:u w:val="single"/>
          </w:rPr>
          <w:t>https://tinyurl.com/y9tve4lk</w:t>
        </w:r>
      </w:hyperlink>
      <w:r>
        <w:rPr>
          <w:sz w:val="26"/>
          <w:szCs w:val="26"/>
          <w:highlight w:val="white"/>
        </w:rPr>
        <w:t>.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 xml:space="preserve">ПОВТОРНЕ ВИВЧЕННЯ ДИСЦИПЛІН, ВІДРАХУВАННЯ. </w:t>
      </w:r>
      <w:r>
        <w:rPr>
          <w:sz w:val="26"/>
          <w:szCs w:val="26"/>
        </w:rPr>
        <w:t xml:space="preserve">Наявність академічної заборгованості до 6 навчальних дисциплін (в тому числі проходження практики чи виконання курсової роботи) за результатами однієї екзаменаційної сесії є підставою для надання студенту права на повторне вивчення зазначених навчальних дисциплін. Порядок повторного вивчення визначається Положенням про порядок повторного вивчення навчальних дисциплін та повторного навчання у ЗНУ: </w:t>
      </w:r>
      <w:hyperlink r:id="rId16">
        <w:r>
          <w:rPr>
            <w:color w:val="000000"/>
            <w:sz w:val="26"/>
            <w:szCs w:val="26"/>
            <w:u w:val="single"/>
          </w:rPr>
          <w:t>https://tinyurl.com/y9pkmmp5</w:t>
        </w:r>
      </w:hyperlink>
      <w:r>
        <w:rPr>
          <w:sz w:val="26"/>
          <w:szCs w:val="26"/>
        </w:rPr>
        <w:t xml:space="preserve">. Підстави та процедури відрахування студентів, у тому числі за невиконання навчального плану, регламентуються Положенням про порядок переведення, відрахування та поновлення студентів у ЗНУ: </w:t>
      </w:r>
      <w:hyperlink r:id="rId17">
        <w:r>
          <w:rPr>
            <w:color w:val="000000"/>
            <w:sz w:val="26"/>
            <w:szCs w:val="26"/>
            <w:u w:val="single"/>
          </w:rPr>
          <w:t>https://tinyurl.com/ycds57la</w:t>
        </w:r>
      </w:hyperlink>
      <w:r>
        <w:rPr>
          <w:sz w:val="26"/>
          <w:szCs w:val="26"/>
        </w:rPr>
        <w:t>.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 xml:space="preserve">ВИРІШЕННЯ КОНФЛІКТІВ. </w:t>
      </w:r>
      <w:r>
        <w:rPr>
          <w:sz w:val="26"/>
          <w:szCs w:val="26"/>
        </w:rPr>
        <w:t xml:space="preserve">Порядок і процедури врегулювання конфліктів, пов’язаних із корупційними діями, зіткненням інтересів, різними формами дискримінації, сексуальними домаганнями, міжособистісними стосунками та іншими ситуаціями, що можуть виникнути під час навчання, регламентуються Положенням про порядок і процедури вирішення конфліктних ситуацій у ЗНУ: </w:t>
      </w:r>
      <w:hyperlink r:id="rId18">
        <w:r>
          <w:rPr>
            <w:color w:val="000000"/>
            <w:sz w:val="26"/>
            <w:szCs w:val="26"/>
            <w:u w:val="single"/>
          </w:rPr>
          <w:t>https://tinyurl.com/57wha734</w:t>
        </w:r>
      </w:hyperlink>
      <w:r>
        <w:rPr>
          <w:sz w:val="26"/>
          <w:szCs w:val="26"/>
        </w:rPr>
        <w:t xml:space="preserve">. Конфліктні ситуації, що виникають у сфері стипендіального забезпечення здобувачів вищої освіти, вирішуються стипендіальними комісіями факультетів, коледжів та університету в межах їх повноважень, відповідно до: Положення про порядок призначення і виплати академічних стипендій у ЗНУ: </w:t>
      </w:r>
      <w:hyperlink r:id="rId19">
        <w:r>
          <w:rPr>
            <w:color w:val="000000"/>
            <w:sz w:val="26"/>
            <w:szCs w:val="26"/>
            <w:u w:val="single"/>
          </w:rPr>
          <w:t>https://tinyurl.com/yd6bq6p9</w:t>
        </w:r>
      </w:hyperlink>
      <w:r>
        <w:rPr>
          <w:sz w:val="26"/>
          <w:szCs w:val="26"/>
        </w:rPr>
        <w:t xml:space="preserve">; Положення про призначення та виплату соціальних стипендій у ЗНУ: </w:t>
      </w:r>
      <w:hyperlink r:id="rId20">
        <w:r>
          <w:rPr>
            <w:color w:val="000000"/>
            <w:sz w:val="26"/>
            <w:szCs w:val="26"/>
            <w:u w:val="single"/>
          </w:rPr>
          <w:t>https://tinyurl.com/y9r5dpwh</w:t>
        </w:r>
      </w:hyperlink>
      <w:r>
        <w:rPr>
          <w:sz w:val="26"/>
          <w:szCs w:val="26"/>
        </w:rPr>
        <w:t xml:space="preserve">. </w:t>
      </w:r>
    </w:p>
    <w:p>
      <w:pPr>
        <w:pStyle w:val="Normal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 xml:space="preserve">ПСИХОЛОГІЧНА ДОПОМОГА. </w:t>
      </w:r>
      <w:r>
        <w:rPr>
          <w:sz w:val="26"/>
          <w:szCs w:val="26"/>
        </w:rPr>
        <w:t xml:space="preserve">Телефон довіри практичного психолога </w:t>
      </w:r>
      <w:r>
        <w:rPr>
          <w:b/>
          <w:bCs/>
          <w:sz w:val="26"/>
          <w:szCs w:val="26"/>
        </w:rPr>
        <w:t>Марті Ірини Вадимівни</w:t>
      </w:r>
      <w:r>
        <w:rPr>
          <w:sz w:val="26"/>
          <w:szCs w:val="26"/>
        </w:rPr>
        <w:t xml:space="preserve"> (061) 228-15-84, (099) 253-78-73 (щоденно з 9 до 21). </w:t>
      </w:r>
    </w:p>
    <w:p>
      <w:pPr>
        <w:pStyle w:val="Normal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>УПОВНОВАЖЕНА ОСОБА З ПИТАНЬ ЗАПОБІГАННЯ ТА ВИЯВЛЕННЯ КОРУПЦІЇ</w:t>
      </w:r>
      <w:r>
        <w:rPr>
          <w:sz w:val="26"/>
          <w:szCs w:val="26"/>
        </w:rPr>
        <w:t xml:space="preserve"> Запорізького національного університету: </w:t>
      </w:r>
      <w:r>
        <w:rPr>
          <w:b/>
          <w:bCs/>
          <w:sz w:val="26"/>
          <w:szCs w:val="26"/>
        </w:rPr>
        <w:t>Банах Віктор Аркадійович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  <w:t>Електронна адреса: </w:t>
      </w:r>
      <w:hyperlink r:id="rId21">
        <w:r>
          <w:rPr>
            <w:color w:val="000000"/>
            <w:sz w:val="26"/>
            <w:szCs w:val="26"/>
            <w:highlight w:val="white"/>
            <w:u w:val="single"/>
          </w:rPr>
          <w:t>v_banakh@znu.edu.ua</w:t>
        </w:r>
      </w:hyperlink>
    </w:p>
    <w:p>
      <w:pPr>
        <w:pStyle w:val="Normal"/>
        <w:jc w:val="both"/>
        <w:rPr/>
      </w:pPr>
      <w:bookmarkStart w:id="1" w:name="_heading=h.dl9whp6gt86x"/>
      <w:bookmarkEnd w:id="1"/>
      <w:r>
        <w:rPr>
          <w:sz w:val="26"/>
          <w:szCs w:val="26"/>
        </w:rPr>
        <w:t>Гаряча лінія: тел.  (</w:t>
      </w:r>
      <w:r>
        <w:rPr>
          <w:sz w:val="26"/>
          <w:szCs w:val="26"/>
          <w:highlight w:val="white"/>
        </w:rPr>
        <w:t>061) 227-12-76, факс 227-12-88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6"/>
        </w:rPr>
        <w:t xml:space="preserve">РІВНІ МОЖЛИВОСТІ ТА ІНКЛЮЗИВНЕ ОСВІТНЄ СЕРЕДОВИЩЕ. </w:t>
      </w:r>
      <w:r>
        <w:rPr>
          <w:sz w:val="26"/>
          <w:szCs w:val="26"/>
        </w:rPr>
        <w:t xml:space="preserve">Центральні входи усіх навчальних корпусів ЗНУ обладнані пандусами для забезпечення доступу осіб з інвалідністю та інших маломобільних груп населення. Допомога для здійснення входу у разі потреби надається черговими охоронцями навчальних корпусів. Якщо вам потрібна спеціалізована допомога, будь ласка, зателефонуйте (061) 228-75-11 (начальник охорони).  Порядок супроводу (надання допомоги) осіб з інвалідністю та інших маломобільних груп населення у ЗНУ: </w:t>
      </w:r>
      <w:hyperlink r:id="rId22">
        <w:r>
          <w:rPr>
            <w:color w:val="000000"/>
            <w:sz w:val="26"/>
            <w:szCs w:val="26"/>
            <w:u w:val="single"/>
          </w:rPr>
          <w:t>https://tinyurl.com/ydhcsagx</w:t>
        </w:r>
      </w:hyperlink>
      <w:r>
        <w:rPr>
          <w:sz w:val="26"/>
          <w:szCs w:val="26"/>
        </w:rPr>
        <w:t xml:space="preserve">. </w:t>
      </w:r>
    </w:p>
    <w:p>
      <w:pPr>
        <w:pStyle w:val="Normal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РЕСУРСИ ДЛЯ НАВЧАННЯ</w:t>
      </w:r>
    </w:p>
    <w:p>
      <w:pPr>
        <w:pStyle w:val="Normal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both"/>
        <w:rPr/>
      </w:pPr>
      <w:r>
        <w:rPr>
          <w:b/>
          <w:bCs/>
          <w:smallCaps/>
          <w:sz w:val="26"/>
          <w:szCs w:val="26"/>
        </w:rPr>
        <w:t>НАУКОВА БІБЛІОТЕКА</w:t>
      </w:r>
      <w:r>
        <w:rPr>
          <w:sz w:val="26"/>
          <w:szCs w:val="26"/>
        </w:rPr>
        <w:t xml:space="preserve">: </w:t>
      </w:r>
      <w:hyperlink r:id="rId23">
        <w:r>
          <w:rPr>
            <w:color w:val="000000"/>
            <w:sz w:val="26"/>
            <w:szCs w:val="26"/>
            <w:u w:val="single"/>
          </w:rPr>
          <w:t>http://library.znu.edu.ua</w:t>
        </w:r>
      </w:hyperlink>
      <w:r>
        <w:rPr>
          <w:sz w:val="26"/>
          <w:szCs w:val="26"/>
        </w:rPr>
        <w:t>. Графік роботи абонементів: понеділок-п`ятниця з 08.00 до 16.00; вихідні дні: субота і неділя.</w:t>
      </w:r>
    </w:p>
    <w:p>
      <w:pPr>
        <w:pStyle w:val="Normal"/>
        <w:jc w:val="both"/>
        <w:rPr/>
      </w:pPr>
      <w:r>
        <w:rPr>
          <w:b/>
          <w:bCs/>
          <w:smallCaps/>
          <w:sz w:val="26"/>
          <w:szCs w:val="26"/>
        </w:rPr>
        <w:t>СИСТЕМА ЕЛЕКТРОННОГО</w:t>
      </w:r>
      <w:r>
        <w:rPr>
          <w:b/>
          <w:bCs/>
          <w:sz w:val="26"/>
          <w:szCs w:val="26"/>
        </w:rPr>
        <w:t xml:space="preserve"> ЗАБЕЗПЕЧЕННЯ НАВЧАННЯ (MOODLE): </w:t>
      </w:r>
      <w:r>
        <w:rPr>
          <w:sz w:val="26"/>
          <w:szCs w:val="26"/>
          <w:u w:val="single"/>
        </w:rPr>
        <w:t>https://moodle.znu.edu.ua</w:t>
      </w:r>
    </w:p>
    <w:p>
      <w:pPr>
        <w:pStyle w:val="Normal"/>
        <w:jc w:val="both"/>
        <w:rPr/>
      </w:pPr>
      <w:r>
        <w:rPr>
          <w:sz w:val="26"/>
          <w:szCs w:val="26"/>
        </w:rPr>
        <w:t xml:space="preserve">Якщо забули пароль/логін, направте листа з темою «Забув пароль/логін» за адресою: </w:t>
      </w:r>
      <w:r>
        <w:rPr>
          <w:sz w:val="26"/>
          <w:szCs w:val="26"/>
          <w:highlight w:val="white"/>
          <w:u w:val="single"/>
        </w:rPr>
        <w:t>moodle.znu@znu.edu.ua.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  <w:t>У листі вкажіть: прізвище, ім'я, по-батькові українською мовою; шифр групи; електронну адресу.</w:t>
      </w:r>
    </w:p>
    <w:p>
      <w:pPr>
        <w:pStyle w:val="Normal"/>
        <w:jc w:val="both"/>
        <w:rPr/>
      </w:pPr>
      <w:r>
        <w:rPr>
          <w:sz w:val="26"/>
          <w:szCs w:val="26"/>
        </w:rPr>
        <w:t xml:space="preserve">Якщо ви вказували електронну адресу в профілі системи Moodle ЗНУ, то використовуйте посилання для відновлення паролю </w:t>
      </w:r>
      <w:r>
        <w:rPr>
          <w:sz w:val="26"/>
          <w:szCs w:val="26"/>
          <w:u w:val="single"/>
        </w:rPr>
        <w:t>https://moodle.znu.edu.ua/mod/page/view.php?id=133015</w:t>
      </w:r>
      <w:r>
        <w:rPr>
          <w:sz w:val="26"/>
          <w:szCs w:val="26"/>
        </w:rPr>
        <w:t>.</w:t>
      </w:r>
    </w:p>
    <w:p>
      <w:pPr>
        <w:pStyle w:val="Normal"/>
        <w:jc w:val="both"/>
        <w:rPr/>
      </w:pPr>
      <w:r>
        <w:rPr>
          <w:b/>
          <w:bCs/>
          <w:smallCaps/>
          <w:sz w:val="26"/>
          <w:szCs w:val="26"/>
        </w:rPr>
        <w:t>ЦЕНТР ІНТЕНСИВНОГО ВИВЧЕННЯ ІНОЗЕМНИХ МОВ</w:t>
      </w:r>
      <w:r>
        <w:rPr>
          <w:smallCaps/>
          <w:sz w:val="26"/>
          <w:szCs w:val="26"/>
        </w:rPr>
        <w:t xml:space="preserve">: </w:t>
      </w:r>
      <w:r>
        <w:rPr>
          <w:sz w:val="26"/>
          <w:szCs w:val="26"/>
          <w:u w:val="single"/>
        </w:rPr>
        <w:t>http://sites.znu.edu.ua/child-advance/</w:t>
      </w:r>
    </w:p>
    <w:p>
      <w:pPr>
        <w:pStyle w:val="Normal"/>
        <w:jc w:val="both"/>
        <w:rPr/>
      </w:pPr>
      <w:r>
        <w:rPr>
          <w:b/>
          <w:bCs/>
          <w:smallCaps/>
          <w:sz w:val="26"/>
          <w:szCs w:val="26"/>
        </w:rPr>
        <w:t>ЦЕНТР НІМЕЦЬКОЇ МОВИ, ПАРТНЕР ГЕТЕ-ІНСТИТУТУ</w:t>
      </w:r>
      <w:r>
        <w:rPr>
          <w:sz w:val="26"/>
          <w:szCs w:val="26"/>
        </w:rPr>
        <w:t xml:space="preserve">: </w:t>
      </w:r>
      <w:r>
        <w:rPr>
          <w:sz w:val="26"/>
          <w:szCs w:val="26"/>
          <w:u w:val="single"/>
        </w:rPr>
        <w:t>https://www.znu.edu.ua/ukr/edu/ocznu/nim</w:t>
      </w:r>
    </w:p>
    <w:p>
      <w:pPr>
        <w:pStyle w:val="Normal"/>
        <w:jc w:val="both"/>
        <w:rPr/>
      </w:pPr>
      <w:r>
        <w:rPr>
          <w:b/>
          <w:bCs/>
          <w:smallCaps/>
          <w:sz w:val="26"/>
          <w:szCs w:val="26"/>
        </w:rPr>
        <w:t>ШКОЛА КОНФУЦІЯ (ВИВЧЕННЯ КИТАЙСЬКОЇ МОВИ</w:t>
      </w:r>
      <w:r>
        <w:rPr>
          <w:b/>
          <w:bCs/>
          <w:sz w:val="26"/>
          <w:szCs w:val="26"/>
        </w:rPr>
        <w:t>)</w:t>
      </w:r>
      <w:r>
        <w:rPr>
          <w:sz w:val="26"/>
          <w:szCs w:val="26"/>
        </w:rPr>
        <w:t xml:space="preserve">: </w:t>
      </w:r>
      <w:r>
        <w:rPr>
          <w:sz w:val="26"/>
          <w:szCs w:val="26"/>
          <w:u w:val="single"/>
        </w:rPr>
        <w:t>http://sites.znu.edu.ua/confucius</w:t>
      </w:r>
    </w:p>
    <w:p>
      <w:pPr>
        <w:pStyle w:val="Normal"/>
        <w:tabs>
          <w:tab w:val="clear" w:pos="720"/>
          <w:tab w:val="left" w:pos="284" w:leader="none"/>
          <w:tab w:val="left" w:pos="567" w:leader="none"/>
        </w:tabs>
        <w:ind w:left="360" w:hanging="360"/>
        <w:jc w:val="center"/>
        <w:rPr>
          <w:rFonts w:ascii="Cambria" w:hAnsi="Cambria" w:eastAsia="Cambria" w:cs="Cambria"/>
          <w:sz w:val="14"/>
          <w:szCs w:val="14"/>
        </w:rPr>
      </w:pPr>
      <w:r>
        <w:rPr/>
      </w:r>
    </w:p>
    <w:sectPr>
      <w:headerReference w:type="default" r:id="rId24"/>
      <w:headerReference w:type="first" r:id="rId25"/>
      <w:type w:val="nextPage"/>
      <w:pgSz w:w="11906" w:h="16838"/>
      <w:pgMar w:left="1134" w:right="567" w:gutter="0" w:header="720" w:top="1138" w:footer="0" w:bottom="1134"/>
      <w:pgNumType w:start="1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Calibri">
    <w:charset w:val="01"/>
    <w:family w:val="roman"/>
    <w:pitch w:val="variable"/>
    <w:embedRegular r:id="rId5" w:fontKey="{05014A78-CABC-4EF0-12AC-5CD89AEFDE05}"/>
    <w:embedItalic r:id="rId6" w:fontKey="{06014A78-CABC-4EF0-12AC-5CD89AEFDE06}"/>
  </w:font>
  <w:font w:name="Symbol">
    <w:charset w:val="01"/>
    <w:family w:val="roman"/>
    <w:pitch w:val="variable"/>
  </w:font>
  <w:font w:name="OpenSymbol">
    <w:altName w:val="Arial Unicode MS"/>
    <w:charset w:val="01"/>
    <w:family w:val="roman"/>
    <w:pitch w:val="variable"/>
    <w:embedRegular r:id="rId7" w:fontKey="{07014A78-CABC-4EF0-12AC-5CD89AEFDE07}"/>
  </w:font>
  <w:font w:name="Times">
    <w:altName w:val="Times New Roman"/>
    <w:charset w:val="01"/>
    <w:family w:val="roman"/>
    <w:pitch w:val="variable"/>
  </w:font>
  <w:font w:name="Segoe UI">
    <w:charset w:val="01"/>
    <w:family w:val="roman"/>
    <w:pitch w:val="variable"/>
    <w:embedRegular r:id="rId8" w:fontKey="{08014A78-CABC-4EF0-12AC-5CD89AEFDE08}"/>
  </w:font>
  <w:font w:name="Liberation Mono">
    <w:altName w:val="Courier New"/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Georgia">
    <w:charset w:val="01"/>
    <w:family w:val="roman"/>
    <w:pitch w:val="variable"/>
    <w:embedItalic r:id="rId13" w:fontKey="{0D014A78-CABC-4EF0-12AC-5CD89AEFDE0D}"/>
  </w:font>
  <w:font w:name="Noto Sans Symbols">
    <w:charset w:val="01"/>
    <w:family w:val="roman"/>
    <w:pitch w:val="variable"/>
    <w:embedRegular r:id="rId14" w:fontKey="{0E014A78-CABC-4EF0-12AC-5CD89AEFDE0E}"/>
    <w:embedBold r:id="rId15" w:fontKey="{0F014A78-CABC-4EF0-12AC-5CD89AEFDE0F}"/>
  </w:font>
  <w:font w:name="Times New Roman">
    <w:altName w:val="serif"/>
    <w:charset w:val="01"/>
    <w:family w:val="roman"/>
    <w:pitch w:val="variable"/>
  </w:font>
  <w:font w:name="Cambria">
    <w:charset w:val="01"/>
    <w:family w:val="roman"/>
    <w:pitch w:val="variable"/>
    <w:embedRegular r:id="rId16" w:fontKey="{10014A78-CABC-4EF0-12AC-5CD89AEFDE10}"/>
  </w:font>
  <w:font w:name="Gotham Pro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680" w:leader="none"/>
        <w:tab w:val="right" w:pos="9360" w:leader="none"/>
      </w:tabs>
      <w:jc w:val="center"/>
      <w:rPr>
        <w:rFonts w:ascii="Gotham Pro" w:hAnsi="Gotham Pro" w:cs="Tahoma"/>
        <w:b/>
        <w:b/>
        <w:sz w:val="22"/>
        <w:lang w:val="uk-UA"/>
      </w:rPr>
    </w:pPr>
    <w:r>
      <w:drawing>
        <wp:anchor behindDoc="1" distT="0" distB="0" distL="114300" distR="114300" simplePos="0" locked="0" layoutInCell="0" allowOverlap="1" relativeHeight="11">
          <wp:simplePos x="0" y="0"/>
          <wp:positionH relativeFrom="margin">
            <wp:posOffset>5334000</wp:posOffset>
          </wp:positionH>
          <wp:positionV relativeFrom="margin">
            <wp:posOffset>-685800</wp:posOffset>
          </wp:positionV>
          <wp:extent cx="685800" cy="630555"/>
          <wp:effectExtent l="0" t="0" r="0" b="0"/>
          <wp:wrapSquare wrapText="bothSides"/>
          <wp:docPr id="1" name="Рисунок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30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ahoma" w:ascii="Gotham Pro" w:hAnsi="Gotham Pro"/>
        <w:b/>
        <w:sz w:val="22"/>
        <w:lang w:val="uk-UA"/>
      </w:rPr>
      <w:t>ЗАПОРІЗЬКИЙ НАЦІОНАЛЬНИЙ УНІВЕРСИТЕТ</w:t>
    </w:r>
  </w:p>
  <w:p>
    <w:pPr>
      <w:pStyle w:val="Normal"/>
      <w:tabs>
        <w:tab w:val="clear" w:pos="720"/>
        <w:tab w:val="center" w:pos="4680" w:leader="none"/>
        <w:tab w:val="right" w:pos="9360" w:leader="none"/>
      </w:tabs>
      <w:jc w:val="center"/>
      <w:rPr>
        <w:rFonts w:ascii="Gotham Pro" w:hAnsi="Gotham Pro" w:cs="Tahoma"/>
        <w:b/>
        <w:b/>
        <w:sz w:val="22"/>
        <w:lang w:val="uk-UA"/>
      </w:rPr>
    </w:pPr>
    <w:r>
      <w:rPr>
        <w:rFonts w:cs="Tahoma" w:ascii="Gotham Pro" w:hAnsi="Gotham Pro"/>
        <w:b/>
        <w:sz w:val="22"/>
        <w:lang w:val="uk-UA"/>
      </w:rPr>
      <w:t>Силабус навчальної дисципліни</w:t>
    </w:r>
  </w:p>
  <w:p>
    <w:pPr>
      <w:pStyle w:val="Normal"/>
      <w:tabs>
        <w:tab w:val="clear" w:pos="720"/>
        <w:tab w:val="center" w:pos="4680" w:leader="none"/>
        <w:tab w:val="right" w:pos="9360" w:leader="none"/>
      </w:tabs>
      <w:jc w:val="center"/>
      <w:rPr>
        <w:rFonts w:cs="Tahoma"/>
        <w:i/>
        <w:i/>
        <w:sz w:val="22"/>
        <w:lang w:val="uk-UA"/>
      </w:rPr>
    </w:pPr>
    <w:r>
      <w:rPr>
        <w:rFonts w:cs="Tahoma"/>
        <w:i/>
        <w:sz w:val="22"/>
        <w:lang w:val="uk-UA"/>
      </w:rPr>
      <w:t>CASE системи</w:t>
    </w:r>
  </w:p>
  <w:p>
    <w:pPr>
      <w:pStyle w:val="Normal"/>
      <w:tabs>
        <w:tab w:val="clear" w:pos="720"/>
        <w:tab w:val="center" w:pos="4680" w:leader="none"/>
        <w:tab w:val="right" w:pos="9360" w:leader="none"/>
      </w:tabs>
      <w:jc w:val="center"/>
      <w:rPr>
        <w:color w:val="000000"/>
      </w:rPr>
    </w:pPr>
    <w:r>
      <w:rPr>
        <w:color w:val="000000"/>
      </w:rPr>
      <w:t>___________________________________________________________________________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680" w:leader="none"/>
        <w:tab w:val="right" w:pos="9360" w:leader="none"/>
      </w:tabs>
      <w:jc w:val="center"/>
      <w:rPr>
        <w:color w:val="000000"/>
      </w:rPr>
    </w:pPr>
    <w:r>
      <w:rPr>
        <w:color w:val="00000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709"/>
          </w:tabs>
          <w:ind w:left="709" w:hanging="283"/>
        </w:pPr>
        <w:rPr/>
      </w:lvl>
    </w:lvlOverride>
    <w:lvlOverride w:ilvl="0"/>
    <w:lvlOverride w:ilvl="1">
      <w:lvl w:ilvl="1">
        <w:start w:val="1"/>
        <w:numFmt w:val="decimal"/>
        <w:lvlText w:val="%2."/>
        <w:lvlJc w:val="left"/>
        <w:pPr>
          <w:tabs>
            <w:tab w:val="num" w:pos="1418"/>
          </w:tabs>
          <w:ind w:left="1418" w:hanging="283"/>
        </w:pPr>
        <w:rPr/>
      </w:lvl>
    </w:lvlOverride>
    <w:lvlOverride w:ilvl="1"/>
    <w:lvlOverride w:ilvl="2">
      <w:lvl w:ilvl="2">
        <w:start w:val="1"/>
        <w:numFmt w:val="decimal"/>
        <w:lvlText w:val="%3."/>
        <w:lvlJc w:val="left"/>
        <w:pPr>
          <w:tabs>
            <w:tab w:val="num" w:pos="2127"/>
          </w:tabs>
          <w:ind w:left="2127" w:hanging="283"/>
        </w:pPr>
        <w:rPr/>
      </w:lvl>
    </w:lvlOverride>
    <w:lvlOverride w:ilvl="2"/>
    <w:lvlOverride w:ilvl="3">
      <w:lvl w:ilvl="3">
        <w:start w:val="1"/>
        <w:numFmt w:val="decimal"/>
        <w:lvlText w:val="%4."/>
        <w:lvlJc w:val="left"/>
        <w:pPr>
          <w:tabs>
            <w:tab w:val="num" w:pos="2836"/>
          </w:tabs>
          <w:ind w:left="2836" w:hanging="283"/>
        </w:pPr>
        <w:rPr/>
      </w:lvl>
    </w:lvlOverride>
    <w:lvlOverride w:ilvl="3"/>
    <w:lvlOverride w:ilvl="4">
      <w:lvl w:ilvl="4">
        <w:start w:val="1"/>
        <w:numFmt w:val="decimal"/>
        <w:lvlText w:val="%5."/>
        <w:lvlJc w:val="left"/>
        <w:pPr>
          <w:tabs>
            <w:tab w:val="num" w:pos="3545"/>
          </w:tabs>
          <w:ind w:left="3545" w:hanging="283"/>
        </w:pPr>
        <w:rPr/>
      </w:lvl>
    </w:lvlOverride>
    <w:lvlOverride w:ilvl="4"/>
    <w:lvlOverride w:ilvl="5">
      <w:lvl w:ilvl="5">
        <w:start w:val="1"/>
        <w:numFmt w:val="decimal"/>
        <w:lvlText w:val="%6."/>
        <w:lvlJc w:val="left"/>
        <w:pPr>
          <w:tabs>
            <w:tab w:val="num" w:pos="4254"/>
          </w:tabs>
          <w:ind w:left="4254" w:hanging="283"/>
        </w:pPr>
        <w:rPr/>
      </w:lvl>
    </w:lvlOverride>
    <w:lvlOverride w:ilvl="5"/>
    <w:lvlOverride w:ilvl="6">
      <w:lvl w:ilvl="6">
        <w:start w:val="1"/>
        <w:numFmt w:val="decimal"/>
        <w:lvlText w:val="%7."/>
        <w:lvlJc w:val="left"/>
        <w:pPr>
          <w:tabs>
            <w:tab w:val="num" w:pos="4963"/>
          </w:tabs>
          <w:ind w:left="4963" w:hanging="283"/>
        </w:pPr>
        <w:rPr/>
      </w:lvl>
    </w:lvlOverride>
    <w:lvlOverride w:ilvl="6"/>
    <w:lvlOverride w:ilvl="7">
      <w:lvl w:ilvl="7">
        <w:start w:val="1"/>
        <w:numFmt w:val="decimal"/>
        <w:lvlText w:val="%8."/>
        <w:lvlJc w:val="left"/>
        <w:pPr>
          <w:tabs>
            <w:tab w:val="num" w:pos="5672"/>
          </w:tabs>
          <w:ind w:left="5672" w:hanging="283"/>
        </w:pPr>
        <w:rPr/>
      </w:lvl>
    </w:lvlOverride>
    <w:lvlOverride w:ilvl="7"/>
    <w:lvlOverride w:ilvl="8">
      <w:lvl w:ilvl="8">
        <w:start w:val="1"/>
        <w:numFmt w:val="decimal"/>
        <w:lvlText w:val="%9."/>
        <w:lvlJc w:val="left"/>
        <w:pPr>
          <w:tabs>
            <w:tab w:val="num" w:pos="6381"/>
          </w:tabs>
          <w:ind w:left="6381" w:hanging="283"/>
        </w:pPr>
        <w:rPr/>
      </w:lvl>
    </w:lvlOverride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ru-RU" w:eastAsia="uk-UA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Heading1">
    <w:name w:val="Heading 1"/>
    <w:basedOn w:val="Normal"/>
    <w:next w:val="Normal"/>
    <w:uiPriority w:val="9"/>
    <w:qFormat/>
    <w:pPr>
      <w:spacing w:before="280" w:after="2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 w:val="true"/>
      <w:keepLines/>
      <w:spacing w:before="40" w:after="0"/>
      <w:outlineLvl w:val="1"/>
    </w:pPr>
    <w:rPr>
      <w:rFonts w:ascii="Calibri" w:hAnsi="Calibri" w:eastAsia="Calibri" w:cs="Calibri"/>
      <w:color w:val="365F91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 w:val="true"/>
      <w:keepLines/>
      <w:spacing w:before="40" w:after="0"/>
      <w:outlineLvl w:val="2"/>
    </w:pPr>
    <w:rPr>
      <w:rFonts w:ascii="Calibri" w:hAnsi="Calibri" w:eastAsia="Calibri" w:cs="Calibri"/>
      <w:color w:val="243F60"/>
    </w:rPr>
  </w:style>
  <w:style w:type="paragraph" w:styleId="Heading4">
    <w:name w:val="Heading 4"/>
    <w:basedOn w:val="Normal"/>
    <w:next w:val="Normal"/>
    <w:uiPriority w:val="9"/>
    <w:unhideWhenUsed/>
    <w:qFormat/>
    <w:pPr>
      <w:keepNext w:val="true"/>
      <w:keepLines/>
      <w:spacing w:before="40" w:after="0"/>
      <w:outlineLvl w:val="3"/>
    </w:pPr>
    <w:rPr>
      <w:rFonts w:ascii="Calibri" w:hAnsi="Calibri" w:eastAsia="Calibri" w:cs="Calibri"/>
      <w:i/>
      <w:iCs/>
      <w:color w:val="365F91"/>
    </w:rPr>
  </w:style>
  <w:style w:type="paragraph" w:styleId="Heading5">
    <w:name w:val="Heading 5"/>
    <w:basedOn w:val="Normal"/>
    <w:next w:val="Normal"/>
    <w:uiPriority w:val="9"/>
    <w:unhideWhenUsed/>
    <w:qFormat/>
    <w:pPr>
      <w:keepNext w:val="true"/>
      <w:keepLines/>
      <w:spacing w:before="40" w:after="0"/>
      <w:outlineLvl w:val="4"/>
    </w:pPr>
    <w:rPr>
      <w:rFonts w:ascii="Calibri" w:hAnsi="Calibri" w:eastAsia="Calibri" w:cs="Calibri"/>
      <w:color w:val="365F91"/>
    </w:rPr>
  </w:style>
  <w:style w:type="paragraph" w:styleId="Heading6">
    <w:name w:val="Heading 6"/>
    <w:basedOn w:val="Normal"/>
    <w:next w:val="Normal"/>
    <w:uiPriority w:val="9"/>
    <w:unhideWhenUsed/>
    <w:qFormat/>
    <w:pPr>
      <w:keepNext w:val="true"/>
      <w:keepLines/>
      <w:spacing w:before="40" w:after="0"/>
      <w:outlineLvl w:val="5"/>
    </w:pPr>
    <w:rPr>
      <w:rFonts w:ascii="Calibri" w:hAnsi="Calibri" w:eastAsia="Calibri" w:cs="Calibri"/>
      <w:color w:val="243F6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Symbol" w:hAnsi="Symbol" w:cs="Symbol"/>
    </w:rPr>
  </w:style>
  <w:style w:type="character" w:styleId="WW8Num2z1" w:customStyle="1">
    <w:name w:val="WW8Num2z1"/>
    <w:qFormat/>
    <w:rPr>
      <w:rFonts w:ascii="OpenSymbol;Arial Unicode MS" w:hAnsi="OpenSymbol;Arial Unicode MS" w:cs="OpenSymbol;Arial Unicode MS"/>
    </w:rPr>
  </w:style>
  <w:style w:type="character" w:styleId="WW8Num3z0" w:customStyle="1">
    <w:name w:val="WW8Num3z0"/>
    <w:qFormat/>
    <w:rPr>
      <w:rFonts w:cs="Times New Roman"/>
    </w:rPr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3z1" w:customStyle="1">
    <w:name w:val="WW8Num3z1"/>
    <w:qFormat/>
    <w:rPr>
      <w:rFonts w:cs="Times New Roman;Times New Roman"/>
    </w:rPr>
  </w:style>
  <w:style w:type="character" w:styleId="WW8Num4z0" w:customStyle="1">
    <w:name w:val="WW8Num4z0"/>
    <w:qFormat/>
    <w:rPr>
      <w:rFonts w:ascii="Symbol" w:hAnsi="Symbol" w:cs="Symbol"/>
    </w:rPr>
  </w:style>
  <w:style w:type="character" w:styleId="WW8Num4z1" w:customStyle="1">
    <w:name w:val="WW8Num4z1"/>
    <w:qFormat/>
    <w:rPr>
      <w:rFonts w:cs="Times New Roman;Times New Roman"/>
    </w:rPr>
  </w:style>
  <w:style w:type="character" w:styleId="InternetLink">
    <w:name w:val="Hyperlink"/>
    <w:rPr>
      <w:rFonts w:cs="Times New Roman;Times New Roman"/>
      <w:color w:val="0000FF"/>
      <w:u w:val="single"/>
    </w:rPr>
  </w:style>
  <w:style w:type="character" w:styleId="3" w:customStyle="1">
    <w:name w:val="Заголовок 3 Знак"/>
    <w:qFormat/>
    <w:rPr>
      <w:rFonts w:ascii="Calibri" w:hAnsi="Calibri" w:eastAsia="MS Gothic;?l?r ?S?V?b?N" w:cs="Times New Roman;Times New Roman"/>
      <w:color w:val="243F60"/>
      <w:sz w:val="24"/>
      <w:szCs w:val="24"/>
      <w:lang w:val="en-US"/>
    </w:rPr>
  </w:style>
  <w:style w:type="character" w:styleId="4" w:customStyle="1">
    <w:name w:val="Заголовок 4 Знак"/>
    <w:qFormat/>
    <w:rPr>
      <w:rFonts w:ascii="Calibri" w:hAnsi="Calibri" w:eastAsia="MS Gothic;?l?r ?S?V?b?N" w:cs="Times New Roman;Times New Roman"/>
      <w:i/>
      <w:iCs/>
      <w:color w:val="365F91"/>
      <w:sz w:val="24"/>
      <w:szCs w:val="24"/>
      <w:lang w:val="en-US"/>
    </w:rPr>
  </w:style>
  <w:style w:type="character" w:styleId="5" w:customStyle="1">
    <w:name w:val="Заголовок 5 Знак"/>
    <w:qFormat/>
    <w:rPr>
      <w:rFonts w:ascii="Calibri" w:hAnsi="Calibri" w:eastAsia="MS Gothic;?l?r ?S?V?b?N" w:cs="Times New Roman;Times New Roman"/>
      <w:color w:val="365F91"/>
      <w:sz w:val="24"/>
      <w:szCs w:val="24"/>
      <w:lang w:val="en-US"/>
    </w:rPr>
  </w:style>
  <w:style w:type="character" w:styleId="6" w:customStyle="1">
    <w:name w:val="Заголовок 6 Знак"/>
    <w:qFormat/>
    <w:rPr>
      <w:rFonts w:ascii="Calibri" w:hAnsi="Calibri" w:eastAsia="MS Gothic;?l?r ?S?V?b?N" w:cs="Times New Roman;Times New Roman"/>
      <w:color w:val="243F60"/>
      <w:sz w:val="24"/>
      <w:szCs w:val="24"/>
      <w:lang w:val="en-US"/>
    </w:rPr>
  </w:style>
  <w:style w:type="character" w:styleId="2" w:customStyle="1">
    <w:name w:val="Заголовок 2 Знак"/>
    <w:qFormat/>
    <w:rPr>
      <w:rFonts w:ascii="Calibri" w:hAnsi="Calibri" w:eastAsia="MS Gothic;?l?r ?S?V?b?N" w:cs="Times New Roman;Times New Roman"/>
      <w:color w:val="365F91"/>
      <w:sz w:val="26"/>
      <w:szCs w:val="26"/>
      <w:lang w:val="en-US"/>
    </w:rPr>
  </w:style>
  <w:style w:type="character" w:styleId="1" w:customStyle="1">
    <w:name w:val="Заголовок 1 Знак"/>
    <w:qFormat/>
    <w:rPr>
      <w:rFonts w:ascii="Times;Times New Roman" w:hAnsi="Times;Times New Roman" w:cs="Times New Roman;Times New Roman"/>
      <w:b/>
      <w:bCs/>
      <w:kern w:val="2"/>
      <w:sz w:val="48"/>
      <w:szCs w:val="48"/>
      <w:lang w:val="en-US"/>
    </w:rPr>
  </w:style>
  <w:style w:type="character" w:styleId="Appletabspan" w:customStyle="1">
    <w:name w:val="apple-tab-span"/>
    <w:qFormat/>
    <w:rPr>
      <w:rFonts w:cs="Times New Roman;Times New Roman"/>
    </w:rPr>
  </w:style>
  <w:style w:type="character" w:styleId="S1" w:customStyle="1">
    <w:name w:val="s1"/>
    <w:qFormat/>
    <w:rPr/>
  </w:style>
  <w:style w:type="character" w:styleId="Style8" w:customStyle="1">
    <w:name w:val="Текст выноски Знак"/>
    <w:qFormat/>
    <w:rPr>
      <w:rFonts w:ascii="Segoe UI" w:hAnsi="Segoe UI" w:cs="Segoe UI"/>
      <w:sz w:val="18"/>
      <w:szCs w:val="18"/>
      <w:lang w:val="en-US"/>
    </w:rPr>
  </w:style>
  <w:style w:type="character" w:styleId="FootnoteCharacters" w:customStyle="1">
    <w:name w:val="Footnote Characters"/>
    <w:qFormat/>
    <w:rPr>
      <w:rFonts w:cs="Times New Roman;Times New Roman"/>
      <w:vertAlign w:val="superscript"/>
    </w:rPr>
  </w:style>
  <w:style w:type="character" w:styleId="Style9" w:customStyle="1">
    <w:name w:val="Верхний колонтитул Знак"/>
    <w:qFormat/>
    <w:rPr>
      <w:rFonts w:cs="Times New Roman;Times New Roman"/>
      <w:sz w:val="24"/>
      <w:szCs w:val="24"/>
      <w:lang w:val="en-US"/>
    </w:rPr>
  </w:style>
  <w:style w:type="character" w:styleId="VisitedInternetLink">
    <w:name w:val="FollowedHyperlink"/>
    <w:rPr>
      <w:rFonts w:cs="Times New Roman;Times New Roman"/>
      <w:color w:val="800080"/>
      <w:u w:val="single"/>
    </w:rPr>
  </w:style>
  <w:style w:type="character" w:styleId="Style10" w:customStyle="1">
    <w:name w:val="Нижний колонтитул Знак"/>
    <w:qFormat/>
    <w:rPr>
      <w:rFonts w:cs="Times New Roman;Times New Roman"/>
      <w:sz w:val="24"/>
      <w:szCs w:val="24"/>
      <w:lang w:val="en-US"/>
    </w:rPr>
  </w:style>
  <w:style w:type="character" w:styleId="11" w:customStyle="1">
    <w:name w:val="Текст сноски Знак1"/>
    <w:qFormat/>
    <w:rPr>
      <w:rFonts w:cs="Times New Roman;Times New Roman"/>
      <w:lang w:val="en-US"/>
    </w:rPr>
  </w:style>
  <w:style w:type="character" w:styleId="Style11" w:customStyle="1">
    <w:name w:val="Текст сноски Знак"/>
    <w:qFormat/>
    <w:rPr>
      <w:rFonts w:cs="Times New Roman;Times New Roman"/>
      <w:lang w:val="en-US"/>
    </w:rPr>
  </w:style>
  <w:style w:type="character" w:styleId="FootnoteAnchor" w:customStyle="1">
    <w:name w:val="Footnote Anchor"/>
    <w:rPr>
      <w:vertAlign w:val="superscript"/>
    </w:rPr>
  </w:style>
  <w:style w:type="character" w:styleId="EndnoteCharacters" w:customStyle="1">
    <w:name w:val="Endnote Characters"/>
    <w:qFormat/>
    <w:rPr>
      <w:vertAlign w:val="superscript"/>
    </w:rPr>
  </w:style>
  <w:style w:type="character" w:styleId="WWEndnoteCharacters" w:customStyle="1">
    <w:name w:val="WW-Endnote Characters"/>
    <w:qFormat/>
    <w:rPr/>
  </w:style>
  <w:style w:type="character" w:styleId="WW8Num5z0" w:customStyle="1">
    <w:name w:val="WW8Num5z0"/>
    <w:qFormat/>
    <w:rPr>
      <w:sz w:val="24"/>
      <w:lang w:val="uk-UA"/>
    </w:rPr>
  </w:style>
  <w:style w:type="character" w:styleId="EndnoteAnchor" w:customStyle="1">
    <w:name w:val="Endnote Anchor"/>
    <w:rPr>
      <w:vertAlign w:val="superscript"/>
    </w:rPr>
  </w:style>
  <w:style w:type="character" w:styleId="Bullets" w:customStyle="1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StrongEmphasis" w:customStyle="1">
    <w:name w:val="Strong Emphasis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styleId="NumberingSymbols" w:customStyle="1">
    <w:name w:val="Numbering Symbols"/>
    <w:qFormat/>
    <w:rPr/>
  </w:style>
  <w:style w:type="character" w:styleId="SourceText" w:customStyle="1">
    <w:name w:val="Source Text"/>
    <w:qFormat/>
    <w:rPr>
      <w:rFonts w:ascii="Liberation Mono;Courier New" w:hAnsi="Liberation Mono;Courier New" w:eastAsia="Noto Sans Mono CJK SC" w:cs="Liberation Mono;Courier New"/>
    </w:rPr>
  </w:style>
  <w:style w:type="paragraph" w:styleId="Heading" w:customStyle="1">
    <w:name w:val="Heading"/>
    <w:next w:val="TextBody"/>
    <w:qFormat/>
    <w:pPr>
      <w:keepNext w:val="true"/>
      <w:widowControl/>
      <w:suppressAutoHyphens w:val="true"/>
      <w:bidi w:val="0"/>
      <w:spacing w:before="240" w:after="120"/>
      <w:jc w:val="left"/>
    </w:pPr>
    <w:rPr>
      <w:rFonts w:ascii="Liberation Sans;Arial" w:hAnsi="Liberation Sans;Arial" w:eastAsia="AR PL SungtiL GB" w:cs="Lohit Devanagari"/>
      <w:color w:val="auto"/>
      <w:kern w:val="0"/>
      <w:sz w:val="28"/>
      <w:szCs w:val="28"/>
      <w:lang w:val="ru-RU" w:eastAsia="uk-UA" w:bidi="ar-SA"/>
    </w:rPr>
  </w:style>
  <w:style w:type="paragraph" w:styleId="TextBody">
    <w:name w:val="Body Text"/>
    <w:pPr>
      <w:widowControl/>
      <w:suppressAutoHyphens w:val="true"/>
      <w:bidi w:val="0"/>
      <w:spacing w:lineRule="auto" w:line="276" w:before="0" w:after="14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qFormat/>
    <w:pPr>
      <w:widowControl/>
      <w:suppressLineNumbers/>
      <w:suppressAutoHyphens w:val="true"/>
      <w:bidi w:val="0"/>
      <w:spacing w:before="0" w:after="0"/>
      <w:jc w:val="left"/>
    </w:pPr>
    <w:rPr>
      <w:rFonts w:ascii="Times New Roman" w:hAnsi="Times New Roman" w:eastAsia="Times New Roman" w:cs="Lohit Devanagari"/>
      <w:color w:val="auto"/>
      <w:kern w:val="0"/>
      <w:sz w:val="24"/>
      <w:szCs w:val="24"/>
      <w:lang w:val="ru-RU" w:eastAsia="uk-UA" w:bidi="ar-SA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bCs/>
      <w:sz w:val="72"/>
      <w:szCs w:val="72"/>
    </w:rPr>
  </w:style>
  <w:style w:type="paragraph" w:styleId="Caption1">
    <w:name w:val="caption"/>
    <w:qFormat/>
    <w:pPr>
      <w:widowControl/>
      <w:suppressLineNumbers/>
      <w:suppressAutoHyphens w:val="true"/>
      <w:bidi w:val="0"/>
      <w:spacing w:before="120" w:after="120"/>
      <w:jc w:val="left"/>
    </w:pPr>
    <w:rPr>
      <w:rFonts w:ascii="Times New Roman" w:hAnsi="Times New Roman" w:eastAsia="Times New Roman" w:cs="Lohit Devanagari"/>
      <w:i/>
      <w:iCs/>
      <w:color w:val="auto"/>
      <w:kern w:val="0"/>
      <w:sz w:val="24"/>
      <w:szCs w:val="24"/>
      <w:lang w:val="ru-RU" w:eastAsia="uk-UA" w:bidi="ar-SA"/>
    </w:rPr>
  </w:style>
  <w:style w:type="paragraph" w:styleId="Style12" w:customStyle="1">
    <w:name w:val="Обычный (веб)"/>
    <w:qFormat/>
    <w:pPr>
      <w:widowControl/>
      <w:suppressAutoHyphens w:val="true"/>
      <w:bidi w:val="0"/>
      <w:spacing w:before="280" w:after="280"/>
      <w:jc w:val="left"/>
    </w:pPr>
    <w:rPr>
      <w:rFonts w:ascii="Times;Times New Roman" w:hAnsi="Times;Times New Roman" w:eastAsia="Times New Roman" w:cs="Times;Times New Roman"/>
      <w:color w:val="auto"/>
      <w:kern w:val="0"/>
      <w:sz w:val="20"/>
      <w:szCs w:val="20"/>
      <w:lang w:val="ru-RU" w:eastAsia="uk-UA" w:bidi="ar-SA"/>
    </w:rPr>
  </w:style>
  <w:style w:type="paragraph" w:styleId="ListParagraph">
    <w:name w:val="List Paragraph"/>
    <w:qFormat/>
    <w:pPr>
      <w:widowControl/>
      <w:suppressAutoHyphens w:val="true"/>
      <w:bidi w:val="0"/>
      <w:spacing w:before="0" w:after="0"/>
      <w:ind w:left="720" w:hanging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BalloonText">
    <w:name w:val="Balloon Text"/>
    <w:qFormat/>
    <w:pPr>
      <w:widowControl/>
      <w:suppressAutoHyphens w:val="true"/>
      <w:bidi w:val="0"/>
      <w:spacing w:before="0" w:after="0"/>
      <w:jc w:val="left"/>
    </w:pPr>
    <w:rPr>
      <w:rFonts w:ascii="Segoe UI" w:hAnsi="Segoe UI" w:eastAsia="Times New Roman" w:cs="Segoe UI"/>
      <w:color w:val="auto"/>
      <w:kern w:val="0"/>
      <w:sz w:val="18"/>
      <w:szCs w:val="18"/>
      <w:lang w:val="ru-RU" w:eastAsia="uk-UA" w:bidi="ar-SA"/>
    </w:rPr>
  </w:style>
  <w:style w:type="paragraph" w:styleId="HeaderandFooter" w:customStyle="1">
    <w:name w:val="Header and Footer"/>
    <w:qFormat/>
    <w:pPr>
      <w:widowControl/>
      <w:suppressLineNumbers/>
      <w:tabs>
        <w:tab w:val="clear" w:pos="720"/>
        <w:tab w:val="center" w:pos="4819" w:leader="none"/>
        <w:tab w:val="right" w:pos="9638" w:leader="none"/>
      </w:tabs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Footer">
    <w:name w:val="Footer"/>
    <w:pPr>
      <w:widowControl/>
      <w:tabs>
        <w:tab w:val="clear" w:pos="720"/>
        <w:tab w:val="center" w:pos="4680" w:leader="none"/>
        <w:tab w:val="right" w:pos="9360" w:leader="none"/>
      </w:tabs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Header">
    <w:name w:val="Header"/>
    <w:pPr>
      <w:widowControl/>
      <w:tabs>
        <w:tab w:val="clear" w:pos="720"/>
        <w:tab w:val="center" w:pos="4680" w:leader="none"/>
        <w:tab w:val="right" w:pos="9360" w:leader="none"/>
      </w:tabs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Footnote">
    <w:name w:val="Footnote Text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uk-UA" w:bidi="ar-SA"/>
    </w:rPr>
  </w:style>
  <w:style w:type="paragraph" w:styleId="TableContents" w:customStyle="1">
    <w:name w:val="Table Contents"/>
    <w:qFormat/>
    <w:pPr>
      <w:widowControl/>
      <w:suppressLineNumbers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uk-UA" w:bidi="ar-SA"/>
    </w:rPr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paragraph" w:styleId="TextBodyIndent">
    <w:name w:val="Body Text Indent"/>
    <w:pPr>
      <w:widowControl/>
      <w:suppressAutoHyphens w:val="true"/>
      <w:bidi w:val="0"/>
      <w:spacing w:before="0" w:after="120"/>
      <w:ind w:left="283" w:hanging="0"/>
      <w:jc w:val="left"/>
    </w:pPr>
    <w:rPr>
      <w:rFonts w:ascii="Times New Roman" w:hAnsi="Times New Roman" w:eastAsia="MS Mincho" w:cs="Times New Roman"/>
      <w:color w:val="auto"/>
      <w:kern w:val="0"/>
      <w:sz w:val="24"/>
      <w:szCs w:val="24"/>
      <w:lang w:val="ru-RU" w:eastAsia="uk-UA" w:bidi="ar-SA"/>
    </w:rPr>
  </w:style>
  <w:style w:type="paragraph" w:styleId="HorizontalLine" w:customStyle="1">
    <w:name w:val="Horizontal Line"/>
    <w:next w:val="TextBody"/>
    <w:qFormat/>
    <w:pPr>
      <w:widowControl/>
      <w:suppressLineNumbers/>
      <w:pBdr>
        <w:bottom w:val="double" w:sz="2" w:space="0" w:color="808080"/>
      </w:pBdr>
      <w:suppressAutoHyphens w:val="true"/>
      <w:bidi w:val="0"/>
      <w:spacing w:before="0" w:after="283"/>
      <w:jc w:val="left"/>
    </w:pPr>
    <w:rPr>
      <w:rFonts w:ascii="Times New Roman" w:hAnsi="Times New Roman" w:eastAsia="Times New Roman" w:cs="Times New Roman"/>
      <w:color w:val="auto"/>
      <w:kern w:val="0"/>
      <w:sz w:val="12"/>
      <w:szCs w:val="12"/>
      <w:lang w:val="ru-RU" w:eastAsia="uk-UA" w:bidi="ar-SA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numbering" w:styleId="WW8Num3" w:customStyle="1">
    <w:name w:val="WW8Num3"/>
    <w:qFormat/>
  </w:style>
  <w:style w:type="numbering" w:styleId="WW8Num4" w:customStyle="1">
    <w:name w:val="WW8Num4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t.me/gen_dobr" TargetMode="External"/><Relationship Id="rId3" Type="http://schemas.openxmlformats.org/officeDocument/2006/relationships/hyperlink" Target="http://files.znu.edu.ua/files/Bibliobooks/Inshi83/0063532.pdf" TargetMode="External"/><Relationship Id="rId4" Type="http://schemas.openxmlformats.org/officeDocument/2006/relationships/hyperlink" Target="" TargetMode="External"/><Relationship Id="rId5" Type="http://schemas.openxmlformats.org/officeDocument/2006/relationships/hyperlink" Target="https://www.routledge.com/UML-Diagramming-A-Case-Study-Approach/Sundaramoorthy/p/book/9781032120782" TargetMode="External"/><Relationship Id="rId6" Type="http://schemas.openxmlformats.org/officeDocument/2006/relationships/hyperlink" Target="https://link.springer.com/book/10.1007/978-3-031-18556-4" TargetMode="External"/><Relationship Id="rId7" Type="http://schemas.openxmlformats.org/officeDocument/2006/relationships/hyperlink" Target="" TargetMode="External"/><Relationship Id="rId8" Type="http://schemas.openxmlformats.org/officeDocument/2006/relationships/hyperlink" Target="https://engineering.futureuniversity.com/BOOKS FOR IT/Software-Engineering-9th-Edition-by-Ian-Sommerville.pdf" TargetMode="External"/><Relationship Id="rId9" Type="http://schemas.openxmlformats.org/officeDocument/2006/relationships/hyperlink" Target="" TargetMode="External"/><Relationship Id="rId10" Type="http://schemas.openxmlformats.org/officeDocument/2006/relationships/hyperlink" Target="http://files.znu.edu.ua/files/Bibliobooks/Inshi83/0063532.pdf" TargetMode="External"/><Relationship Id="rId11" Type="http://schemas.openxmlformats.org/officeDocument/2006/relationships/hyperlink" Target="" TargetMode="External"/><Relationship Id="rId12" Type="http://schemas.openxmlformats.org/officeDocument/2006/relationships/hyperlink" Target="http://files.znu.edu.ua/files/Bibliobooks/Inshi78/0057855/" TargetMode="External"/><Relationship Id="rId13" Type="http://schemas.openxmlformats.org/officeDocument/2006/relationships/hyperlink" Target="" TargetMode="External"/><Relationship Id="rId14" Type="http://schemas.openxmlformats.org/officeDocument/2006/relationships/hyperlink" Target="https://tinyurl.com/yckze4jd" TargetMode="External"/><Relationship Id="rId15" Type="http://schemas.openxmlformats.org/officeDocument/2006/relationships/hyperlink" Target="https://tinyurl.com/y9tve4lk" TargetMode="External"/><Relationship Id="rId16" Type="http://schemas.openxmlformats.org/officeDocument/2006/relationships/hyperlink" Target="https://tinyurl.com/y9pkmmp5" TargetMode="External"/><Relationship Id="rId17" Type="http://schemas.openxmlformats.org/officeDocument/2006/relationships/hyperlink" Target="https://tinyurl.com/ycds57la" TargetMode="External"/><Relationship Id="rId18" Type="http://schemas.openxmlformats.org/officeDocument/2006/relationships/hyperlink" Target="https://tinyurl.com/57wha734" TargetMode="External"/><Relationship Id="rId19" Type="http://schemas.openxmlformats.org/officeDocument/2006/relationships/hyperlink" Target="https://tinyurl.com/yd6bq6p9" TargetMode="External"/><Relationship Id="rId20" Type="http://schemas.openxmlformats.org/officeDocument/2006/relationships/hyperlink" Target="https://tinyurl.com/y9r5dpwh" TargetMode="External"/><Relationship Id="rId21" Type="http://schemas.openxmlformats.org/officeDocument/2006/relationships/hyperlink" Target="mailto:v_banakh@znu.edu.ua" TargetMode="External"/><Relationship Id="rId22" Type="http://schemas.openxmlformats.org/officeDocument/2006/relationships/hyperlink" Target="https://tinyurl.com/ydhcsagx" TargetMode="External"/><Relationship Id="rId23" Type="http://schemas.openxmlformats.org/officeDocument/2006/relationships/hyperlink" Target="http://library.znu.edu.ua/" TargetMode="External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numbering" Target="numbering.xml"/><Relationship Id="rId27" Type="http://schemas.openxmlformats.org/officeDocument/2006/relationships/fontTable" Target="fontTable.xml"/><Relationship Id="rId28" Type="http://schemas.openxmlformats.org/officeDocument/2006/relationships/settings" Target="settings.xml"/><Relationship Id="rId29" Type="http://schemas.openxmlformats.org/officeDocument/2006/relationships/theme" Target="theme/theme1.xml"/><Relationship Id="rId30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eKpzdcWcDSxxL0MtrkyBhNkE1zw==">CgMxLjAyDmguZGw5d2hwNmd0ODZ4OAByITE0VXlDWjZFdTF6V1dsdGFXbHgwMUNkMVRhcUNYejhvbA==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LibreOffice/7.3.7.2$Linux_X86_64 LibreOffice_project/30$Build-2</Application>
  <AppVersion>15.0000</AppVersion>
  <Pages>11</Pages>
  <Words>2158</Words>
  <Characters>16129</Characters>
  <CharactersWithSpaces>18300</CharactersWithSpaces>
  <Paragraphs>340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2025-12-04T10:09:00Z</dcterms:created>
  <dc:creator>cheryl reed</dc:creator>
  <dc:description/>
  <dc:language>en-US</dc:language>
  <cp:lastModifiedBy/>
  <dcterms:modified xsi:type="dcterms:W3CDTF">2026-01-31T16:05:04Z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